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Spec="center" w:tblpY="1593"/>
        <w:tblW w:w="8800" w:type="dxa"/>
        <w:jc w:val="center"/>
        <w:tblLayout w:type="fixed"/>
        <w:tblCellMar>
          <w:top w:w="0" w:type="dxa"/>
          <w:left w:w="108" w:type="dxa"/>
          <w:bottom w:w="0" w:type="dxa"/>
          <w:right w:w="108" w:type="dxa"/>
        </w:tblCellMar>
      </w:tblPr>
      <w:tblGrid>
        <w:gridCol w:w="8800"/>
      </w:tblGrid>
      <w:tr>
        <w:tblPrEx>
          <w:tblCellMar>
            <w:top w:w="0" w:type="dxa"/>
            <w:left w:w="108" w:type="dxa"/>
            <w:bottom w:w="0" w:type="dxa"/>
            <w:right w:w="108" w:type="dxa"/>
          </w:tblCellMar>
        </w:tblPrEx>
        <w:trPr>
          <w:trHeight w:val="1127" w:hRule="atLeast"/>
          <w:jc w:val="center"/>
        </w:trPr>
        <w:tc>
          <w:tcPr>
            <w:tcW w:w="8800" w:type="dxa"/>
            <w:vAlign w:val="center"/>
          </w:tcPr>
          <w:p>
            <w:pPr>
              <w:spacing w:line="1100" w:lineRule="exact"/>
              <w:ind w:right="420"/>
              <w:jc w:val="distribute"/>
              <w:rPr>
                <w:rFonts w:ascii="方正小标宋简体" w:hAnsi="方正小标宋简体" w:eastAsia="方正小标宋简体" w:cs="方正小标宋简体"/>
                <w:bCs/>
                <w:color w:val="FF0000"/>
                <w:w w:val="80"/>
                <w:sz w:val="96"/>
                <w:szCs w:val="96"/>
              </w:rPr>
            </w:pPr>
          </w:p>
        </w:tc>
      </w:tr>
    </w:tbl>
    <w:p>
      <w:pPr>
        <w:ind w:firstLine="640" w:firstLineChars="200"/>
        <w:rPr>
          <w:rFonts w:ascii="仿宋_GB2312" w:hAnsi="仿宋_GB2312" w:eastAsia="仿宋_GB2312" w:cs="仿宋_GB2312"/>
          <w:sz w:val="32"/>
          <w:szCs w:val="32"/>
        </w:rPr>
      </w:pPr>
      <w:r>
        <w:rPr>
          <w:sz w:val="32"/>
        </w:rPr>
        <mc:AlternateContent>
          <mc:Choice Requires="wps">
            <w:drawing>
              <wp:anchor distT="0" distB="0" distL="114300" distR="114300" simplePos="0" relativeHeight="251659264" behindDoc="0" locked="0" layoutInCell="1" allowOverlap="1">
                <wp:simplePos x="0" y="0"/>
                <wp:positionH relativeFrom="page">
                  <wp:posOffset>4417695</wp:posOffset>
                </wp:positionH>
                <wp:positionV relativeFrom="page">
                  <wp:posOffset>2017395</wp:posOffset>
                </wp:positionV>
                <wp:extent cx="1828800" cy="23114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231140"/>
                        </a:xfrm>
                        <a:prstGeom prst="rect">
                          <a:avLst/>
                        </a:prstGeom>
                        <a:noFill/>
                        <a:ln w="6350">
                          <a:noFill/>
                        </a:ln>
                        <a:effectLst/>
                      </wps:spPr>
                      <wps:txbx>
                        <w:txbxContent>
                          <w:p>
                            <w:pPr>
                              <w:spacing w:line="320" w:lineRule="exact"/>
                              <w:jc w:val="center"/>
                              <w:rPr>
                                <w:rFonts w:ascii="仿宋_GB2312" w:hAnsi="仿宋_GB2312" w:eastAsia="仿宋_GB2312" w:cs="仿宋_GB2312"/>
                                <w:bCs/>
                                <w:color w:val="000000"/>
                                <w:position w:val="-3"/>
                                <w:sz w:val="32"/>
                                <w:szCs w:val="32"/>
                              </w:rPr>
                            </w:pPr>
                            <w:r>
                              <w:rPr>
                                <w:rFonts w:hint="eastAsia" w:ascii="仿宋_GB2312" w:hAnsi="仿宋_GB2312" w:eastAsia="仿宋_GB2312" w:cs="仿宋_GB2312"/>
                                <w:bCs/>
                                <w:color w:val="000000"/>
                                <w:position w:val="-3"/>
                                <w:sz w:val="32"/>
                                <w:szCs w:val="32"/>
                              </w:rPr>
                              <w:t>闽教便函〔20</w:t>
                            </w:r>
                            <w:r>
                              <w:rPr>
                                <w:rFonts w:hint="eastAsia" w:ascii="仿宋_GB2312" w:hAnsi="仿宋_GB2312" w:cs="仿宋_GB2312"/>
                                <w:bCs/>
                                <w:color w:val="000000"/>
                                <w:position w:val="-3"/>
                                <w:sz w:val="32"/>
                                <w:szCs w:val="32"/>
                              </w:rPr>
                              <w:t>2</w:t>
                            </w:r>
                            <w:r>
                              <w:rPr>
                                <w:rFonts w:hint="eastAsia" w:ascii="仿宋_GB2312" w:hAnsi="仿宋_GB2312" w:cs="仿宋_GB2312"/>
                                <w:bCs/>
                                <w:color w:val="000000"/>
                                <w:position w:val="-3"/>
                                <w:sz w:val="32"/>
                                <w:szCs w:val="32"/>
                                <w:lang w:val="en-US" w:eastAsia="zh-CN"/>
                              </w:rPr>
                              <w:t>1</w:t>
                            </w:r>
                            <w:r>
                              <w:rPr>
                                <w:rFonts w:hint="eastAsia" w:ascii="仿宋_GB2312" w:hAnsi="仿宋_GB2312" w:eastAsia="仿宋_GB2312" w:cs="仿宋_GB2312"/>
                                <w:bCs/>
                                <w:color w:val="000000"/>
                                <w:position w:val="-3"/>
                                <w:sz w:val="32"/>
                                <w:szCs w:val="32"/>
                              </w:rPr>
                              <w:t>〕</w:t>
                            </w:r>
                            <w:r>
                              <w:rPr>
                                <w:rFonts w:hint="eastAsia" w:ascii="仿宋_GB2312" w:hAnsi="仿宋_GB2312" w:eastAsia="仿宋_GB2312" w:cs="仿宋_GB2312"/>
                                <w:bCs/>
                                <w:color w:val="000000"/>
                                <w:position w:val="-3"/>
                                <w:sz w:val="32"/>
                                <w:szCs w:val="32"/>
                                <w:lang w:val="en-US" w:eastAsia="zh-CN"/>
                              </w:rPr>
                              <w:t>1314</w:t>
                            </w:r>
                            <w:r>
                              <w:rPr>
                                <w:rFonts w:hint="eastAsia" w:ascii="仿宋_GB2312" w:hAnsi="仿宋_GB2312" w:eastAsia="仿宋_GB2312" w:cs="仿宋_GB2312"/>
                                <w:bCs/>
                                <w:color w:val="000000"/>
                                <w:position w:val="-3"/>
                                <w:sz w:val="32"/>
                                <w:szCs w:val="32"/>
                              </w:rPr>
                              <w:t>号</w:t>
                            </w:r>
                          </w:p>
                          <w:p/>
                        </w:txbxContent>
                      </wps:txbx>
                      <wps:bodyPr rot="0" spcFirstLastPara="0" vertOverflow="overflow" horzOverflow="overflow" vert="horz" wrap="non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47.85pt;margin-top:158.85pt;height:18.2pt;width:144pt;mso-position-horizontal-relative:page;mso-position-vertical-relative:page;mso-wrap-style:none;z-index:251659264;mso-width-relative:page;mso-height-relative:page;" filled="f" stroked="f" coordsize="21600,21600" o:gfxdata="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gf3WLbAAAACwEAAA8AAAAAAAAAAQAgAAAAIgAAAGRycy9kb3du&#10;cmV2LnhtbFBLAQIUABQAAAAIAIdO4kDBIPXZNQIAAGIEAAAOAAAAAAAAAAEAIAAAACoBAABkcnMv&#10;ZTJvRG9jLnhtbFBLBQYAAAAABgAGAFkBAADRBQAAAAA=&#10;">
                <v:fill on="f" focussize="0,0"/>
                <v:stroke on="f" weight="0.5pt"/>
                <v:imagedata o:title=""/>
                <o:lock v:ext="edit" aspectratio="f"/>
                <v:textbox inset="0mm,0mm,0mm,0mm">
                  <w:txbxContent>
                    <w:p>
                      <w:pPr>
                        <w:spacing w:line="320" w:lineRule="exact"/>
                        <w:jc w:val="center"/>
                        <w:rPr>
                          <w:rFonts w:ascii="仿宋_GB2312" w:hAnsi="仿宋_GB2312" w:eastAsia="仿宋_GB2312" w:cs="仿宋_GB2312"/>
                          <w:bCs/>
                          <w:color w:val="000000"/>
                          <w:position w:val="-3"/>
                          <w:sz w:val="32"/>
                          <w:szCs w:val="32"/>
                        </w:rPr>
                      </w:pPr>
                      <w:r>
                        <w:rPr>
                          <w:rFonts w:hint="eastAsia" w:ascii="仿宋_GB2312" w:hAnsi="仿宋_GB2312" w:eastAsia="仿宋_GB2312" w:cs="仿宋_GB2312"/>
                          <w:bCs/>
                          <w:color w:val="000000"/>
                          <w:position w:val="-3"/>
                          <w:sz w:val="32"/>
                          <w:szCs w:val="32"/>
                        </w:rPr>
                        <w:t>闽教便函〔20</w:t>
                      </w:r>
                      <w:r>
                        <w:rPr>
                          <w:rFonts w:hint="eastAsia" w:ascii="仿宋_GB2312" w:hAnsi="仿宋_GB2312" w:cs="仿宋_GB2312"/>
                          <w:bCs/>
                          <w:color w:val="000000"/>
                          <w:position w:val="-3"/>
                          <w:sz w:val="32"/>
                          <w:szCs w:val="32"/>
                        </w:rPr>
                        <w:t>2</w:t>
                      </w:r>
                      <w:r>
                        <w:rPr>
                          <w:rFonts w:hint="eastAsia" w:ascii="仿宋_GB2312" w:hAnsi="仿宋_GB2312" w:cs="仿宋_GB2312"/>
                          <w:bCs/>
                          <w:color w:val="000000"/>
                          <w:position w:val="-3"/>
                          <w:sz w:val="32"/>
                          <w:szCs w:val="32"/>
                          <w:lang w:val="en-US" w:eastAsia="zh-CN"/>
                        </w:rPr>
                        <w:t>1</w:t>
                      </w:r>
                      <w:r>
                        <w:rPr>
                          <w:rFonts w:hint="eastAsia" w:ascii="仿宋_GB2312" w:hAnsi="仿宋_GB2312" w:eastAsia="仿宋_GB2312" w:cs="仿宋_GB2312"/>
                          <w:bCs/>
                          <w:color w:val="000000"/>
                          <w:position w:val="-3"/>
                          <w:sz w:val="32"/>
                          <w:szCs w:val="32"/>
                        </w:rPr>
                        <w:t>〕</w:t>
                      </w:r>
                      <w:r>
                        <w:rPr>
                          <w:rFonts w:hint="eastAsia" w:ascii="仿宋_GB2312" w:hAnsi="仿宋_GB2312" w:eastAsia="仿宋_GB2312" w:cs="仿宋_GB2312"/>
                          <w:bCs/>
                          <w:color w:val="000000"/>
                          <w:position w:val="-3"/>
                          <w:sz w:val="32"/>
                          <w:szCs w:val="32"/>
                          <w:lang w:val="en-US" w:eastAsia="zh-CN"/>
                        </w:rPr>
                        <w:t>1314</w:t>
                      </w:r>
                      <w:r>
                        <w:rPr>
                          <w:rFonts w:hint="eastAsia" w:ascii="仿宋_GB2312" w:hAnsi="仿宋_GB2312" w:eastAsia="仿宋_GB2312" w:cs="仿宋_GB2312"/>
                          <w:bCs/>
                          <w:color w:val="000000"/>
                          <w:position w:val="-3"/>
                          <w:sz w:val="32"/>
                          <w:szCs w:val="32"/>
                        </w:rPr>
                        <w:t>号</w:t>
                      </w:r>
                    </w:p>
                    <w:p/>
                  </w:txbxContent>
                </v:textbox>
              </v:shape>
            </w:pict>
          </mc:Fallback>
        </mc:AlternateContent>
      </w:r>
    </w:p>
    <w:p>
      <w:pPr>
        <w:ind w:firstLine="640" w:firstLineChars="200"/>
        <w:rPr>
          <w:rFonts w:ascii="仿宋_GB2312" w:hAnsi="仿宋_GB2312" w:eastAsia="仿宋_GB2312" w:cs="仿宋_GB2312"/>
          <w:sz w:val="32"/>
          <w:szCs w:val="32"/>
        </w:rPr>
      </w:pPr>
    </w:p>
    <w:p>
      <w:pPr>
        <w:spacing w:line="760"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福建省教育厅关于征求《福建省本科毕业论文（设计）抽检实施细则（试行）</w:t>
      </w:r>
    </w:p>
    <w:p>
      <w:pPr>
        <w:spacing w:line="76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（征求意见稿）》意见的函</w:t>
      </w:r>
    </w:p>
    <w:p>
      <w:pPr>
        <w:spacing w:line="600" w:lineRule="exact"/>
      </w:pP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各</w:t>
      </w:r>
      <w:r>
        <w:rPr>
          <w:rFonts w:hint="eastAsia" w:ascii="仿宋_GB2312" w:hAnsi="仿宋_GB2312" w:eastAsia="仿宋_GB2312" w:cs="仿宋_GB2312"/>
          <w:sz w:val="32"/>
          <w:szCs w:val="32"/>
          <w:lang w:eastAsia="zh-CN"/>
        </w:rPr>
        <w:t>本科</w:t>
      </w:r>
      <w:r>
        <w:rPr>
          <w:rFonts w:hint="eastAsia" w:ascii="仿宋_GB2312" w:hAnsi="仿宋_GB2312" w:eastAsia="仿宋_GB2312" w:cs="仿宋_GB2312"/>
          <w:sz w:val="32"/>
          <w:szCs w:val="32"/>
        </w:rPr>
        <w:t>高校：</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根据《教育部关于印发&lt;本科毕业论文（设计）抽检办法（试行）&gt;的通知》（教督〔2020〕5号）要求，我厅起草了《福建省本科毕业论文（设计）抽检实施细则（试行）（征求意见稿）》，现征求你们的意见，请于202</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年1</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15</w:t>
      </w:r>
      <w:r>
        <w:rPr>
          <w:rFonts w:hint="eastAsia" w:ascii="仿宋_GB2312" w:hAnsi="仿宋_GB2312" w:eastAsia="仿宋_GB2312" w:cs="仿宋_GB2312"/>
          <w:sz w:val="32"/>
          <w:szCs w:val="32"/>
        </w:rPr>
        <w:t>日前反馈</w:t>
      </w:r>
      <w:r>
        <w:rPr>
          <w:rFonts w:hint="eastAsia" w:ascii="仿宋_GB2312" w:hAnsi="仿宋_GB2312" w:eastAsia="仿宋_GB2312" w:cs="仿宋_GB2312"/>
          <w:sz w:val="32"/>
          <w:szCs w:val="32"/>
          <w:lang w:eastAsia="zh-CN"/>
        </w:rPr>
        <w:t>我</w:t>
      </w:r>
      <w:r>
        <w:rPr>
          <w:rFonts w:hint="eastAsia" w:ascii="仿宋_GB2312" w:hAnsi="仿宋_GB2312" w:eastAsia="仿宋_GB2312" w:cs="仿宋_GB2312"/>
          <w:sz w:val="32"/>
          <w:szCs w:val="32"/>
        </w:rPr>
        <w:t>厅高等教育处</w:t>
      </w:r>
      <w:r>
        <w:rPr>
          <w:rFonts w:hint="eastAsia" w:ascii="仿宋_GB2312" w:hAnsi="仿宋_GB2312" w:eastAsia="仿宋_GB2312" w:cs="仿宋_GB2312"/>
          <w:sz w:val="32"/>
          <w:szCs w:val="32"/>
          <w:lang w:eastAsia="zh-CN"/>
        </w:rPr>
        <w:t>，并将电子版材料（word+PDF版）发送至指定邮箱</w:t>
      </w:r>
      <w:r>
        <w:rPr>
          <w:rFonts w:hint="eastAsia" w:ascii="仿宋_GB2312" w:hAnsi="仿宋_GB2312" w:eastAsia="仿宋_GB2312" w:cs="仿宋_GB2312"/>
          <w:sz w:val="32"/>
          <w:szCs w:val="32"/>
        </w:rPr>
        <w:t>。</w:t>
      </w:r>
    </w:p>
    <w:p>
      <w:p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联系人：罗玮祥，电话：0591-87091312，邮箱：</w:t>
      </w:r>
      <w:r>
        <w:fldChar w:fldCharType="begin"/>
      </w:r>
      <w:r>
        <w:instrText xml:space="preserve"> HYPERLINK "mailto:570198301@qq.com。" </w:instrText>
      </w:r>
      <w:r>
        <w:fldChar w:fldCharType="separate"/>
      </w:r>
      <w:r>
        <w:rPr>
          <w:rStyle w:val="8"/>
          <w:rFonts w:hint="eastAsia" w:ascii="仿宋_GB2312" w:hAnsi="仿宋_GB2312" w:eastAsia="仿宋_GB2312" w:cs="仿宋_GB2312"/>
          <w:color w:val="auto"/>
          <w:sz w:val="32"/>
          <w:szCs w:val="32"/>
          <w:u w:val="none"/>
          <w:lang w:val="en-US" w:eastAsia="zh-CN"/>
        </w:rPr>
        <w:t>jytgjc@fjsjyt.cn</w:t>
      </w:r>
      <w:r>
        <w:rPr>
          <w:rStyle w:val="8"/>
          <w:rFonts w:hint="eastAsia" w:ascii="仿宋_GB2312" w:hAnsi="仿宋_GB2312" w:eastAsia="仿宋_GB2312" w:cs="仿宋_GB2312"/>
          <w:color w:val="auto"/>
          <w:sz w:val="32"/>
          <w:szCs w:val="32"/>
          <w:u w:val="none"/>
        </w:rPr>
        <w:t>。</w:t>
      </w:r>
      <w:r>
        <w:rPr>
          <w:rStyle w:val="8"/>
          <w:rFonts w:hint="eastAsia" w:ascii="仿宋_GB2312" w:hAnsi="仿宋_GB2312" w:eastAsia="仿宋_GB2312" w:cs="仿宋_GB2312"/>
          <w:color w:val="auto"/>
          <w:sz w:val="32"/>
          <w:szCs w:val="32"/>
          <w:u w:val="none"/>
        </w:rPr>
        <w:fldChar w:fldCharType="end"/>
      </w:r>
    </w:p>
    <w:p>
      <w:pPr>
        <w:spacing w:line="600" w:lineRule="exact"/>
        <w:ind w:firstLine="420"/>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600" w:lineRule="exact"/>
        <w:ind w:firstLine="420"/>
        <w:rPr>
          <w:rFonts w:ascii="仿宋_GB2312" w:hAnsi="仿宋_GB2312" w:eastAsia="仿宋_GB2312" w:cs="仿宋_GB2312"/>
          <w:sz w:val="32"/>
          <w:szCs w:val="32"/>
        </w:rPr>
      </w:pPr>
    </w:p>
    <w:p>
      <w:pPr>
        <w:spacing w:line="600" w:lineRule="exact"/>
        <w:ind w:firstLine="420"/>
        <w:jc w:val="center"/>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福建省教育厅</w:t>
      </w:r>
    </w:p>
    <w:p>
      <w:pPr>
        <w:spacing w:line="600" w:lineRule="exact"/>
        <w:ind w:firstLine="420"/>
        <w:jc w:val="center"/>
        <w:rPr>
          <w:rFonts w:hint="eastAsia" w:ascii="方正小标宋简体" w:hAnsi="微软雅黑" w:eastAsia="方正小标宋简体"/>
          <w:b w:val="0"/>
          <w:bCs w:val="0"/>
          <w:sz w:val="44"/>
          <w:szCs w:val="44"/>
        </w:rPr>
      </w:pPr>
      <w:r>
        <w:rPr>
          <w:rFonts w:hint="eastAsia" w:ascii="仿宋_GB2312" w:hAnsi="仿宋_GB2312" w:eastAsia="仿宋_GB2312" w:cs="仿宋_GB2312"/>
          <w:sz w:val="32"/>
          <w:szCs w:val="32"/>
        </w:rPr>
        <w:t xml:space="preserve">                     202</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年1</w:t>
      </w:r>
      <w:r>
        <w:rPr>
          <w:rFonts w:hint="eastAsia" w:ascii="仿宋_GB2312" w:hAnsi="仿宋_GB2312" w:eastAsia="仿宋_GB2312" w:cs="仿宋_GB2312"/>
          <w:sz w:val="32"/>
          <w:szCs w:val="32"/>
          <w:lang w:val="en-US" w:eastAsia="zh-CN"/>
        </w:rPr>
        <w:t>0</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日</w:t>
      </w:r>
    </w:p>
    <w:p>
      <w:pPr>
        <w:keepNext w:val="0"/>
        <w:keepLines w:val="0"/>
        <w:pageBreakBefore w:val="0"/>
        <w:widowControl w:val="0"/>
        <w:tabs>
          <w:tab w:val="left" w:pos="3336"/>
        </w:tabs>
        <w:kinsoku/>
        <w:wordWrap/>
        <w:overflowPunct/>
        <w:topLinePunct w:val="0"/>
        <w:autoSpaceDE/>
        <w:autoSpaceDN/>
        <w:bidi w:val="0"/>
        <w:adjustRightInd w:val="0"/>
        <w:snapToGrid w:val="0"/>
        <w:spacing w:line="760" w:lineRule="exact"/>
        <w:ind w:left="0" w:leftChars="0" w:right="0" w:rightChars="0" w:firstLine="0" w:firstLineChars="0"/>
        <w:jc w:val="center"/>
        <w:textAlignment w:val="auto"/>
        <w:outlineLvl w:val="9"/>
        <w:rPr>
          <w:rFonts w:hint="eastAsia" w:ascii="方正小标宋简体" w:hAnsi="微软雅黑" w:eastAsia="方正小标宋简体"/>
          <w:b w:val="0"/>
          <w:bCs w:val="0"/>
          <w:sz w:val="44"/>
          <w:szCs w:val="44"/>
        </w:rPr>
        <w:sectPr>
          <w:pgSz w:w="11906" w:h="16838"/>
          <w:pgMar w:top="2098" w:right="1474" w:bottom="1984" w:left="1587" w:header="851" w:footer="992" w:gutter="0"/>
          <w:pgNumType w:fmt="numberInDash"/>
          <w:cols w:space="425" w:num="1"/>
          <w:docGrid w:type="lines" w:linePitch="312" w:charSpace="0"/>
        </w:sectPr>
      </w:pPr>
      <w:bookmarkStart w:id="0" w:name="_GoBack"/>
      <w:bookmarkEnd w:id="0"/>
    </w:p>
    <w:p>
      <w:pPr>
        <w:keepNext w:val="0"/>
        <w:keepLines w:val="0"/>
        <w:pageBreakBefore w:val="0"/>
        <w:widowControl w:val="0"/>
        <w:tabs>
          <w:tab w:val="left" w:pos="3336"/>
        </w:tabs>
        <w:kinsoku/>
        <w:wordWrap/>
        <w:overflowPunct/>
        <w:topLinePunct w:val="0"/>
        <w:autoSpaceDE/>
        <w:autoSpaceDN/>
        <w:bidi w:val="0"/>
        <w:adjustRightInd w:val="0"/>
        <w:snapToGrid w:val="0"/>
        <w:spacing w:line="760" w:lineRule="exact"/>
        <w:ind w:left="0" w:leftChars="0" w:right="0" w:rightChars="0" w:firstLine="0" w:firstLineChars="0"/>
        <w:jc w:val="center"/>
        <w:textAlignment w:val="auto"/>
        <w:outlineLvl w:val="9"/>
        <w:rPr>
          <w:rFonts w:ascii="方正小标宋简体" w:hAnsi="微软雅黑" w:eastAsia="方正小标宋简体"/>
          <w:b w:val="0"/>
          <w:bCs w:val="0"/>
          <w:sz w:val="44"/>
          <w:szCs w:val="44"/>
        </w:rPr>
      </w:pPr>
      <w:r>
        <w:rPr>
          <w:rFonts w:hint="eastAsia" w:ascii="方正小标宋简体" w:hAnsi="微软雅黑" w:eastAsia="方正小标宋简体"/>
          <w:b w:val="0"/>
          <w:bCs w:val="0"/>
          <w:sz w:val="44"/>
          <w:szCs w:val="44"/>
        </w:rPr>
        <w:t>福建省本科毕业论文（设计）抽检</w:t>
      </w:r>
    </w:p>
    <w:p>
      <w:pPr>
        <w:keepNext w:val="0"/>
        <w:keepLines w:val="0"/>
        <w:pageBreakBefore w:val="0"/>
        <w:widowControl w:val="0"/>
        <w:tabs>
          <w:tab w:val="left" w:pos="3336"/>
        </w:tabs>
        <w:kinsoku/>
        <w:wordWrap/>
        <w:overflowPunct/>
        <w:topLinePunct w:val="0"/>
        <w:autoSpaceDE/>
        <w:autoSpaceDN/>
        <w:bidi w:val="0"/>
        <w:adjustRightInd w:val="0"/>
        <w:snapToGrid w:val="0"/>
        <w:spacing w:line="760" w:lineRule="exact"/>
        <w:ind w:left="0" w:leftChars="0" w:right="0" w:rightChars="0" w:firstLine="0" w:firstLineChars="0"/>
        <w:jc w:val="center"/>
        <w:textAlignment w:val="auto"/>
        <w:outlineLvl w:val="9"/>
        <w:rPr>
          <w:rFonts w:hint="eastAsia" w:ascii="方正小标宋简体" w:hAnsi="微软雅黑" w:eastAsia="方正小标宋简体"/>
          <w:b w:val="0"/>
          <w:bCs w:val="0"/>
          <w:sz w:val="44"/>
          <w:szCs w:val="44"/>
        </w:rPr>
      </w:pPr>
      <w:r>
        <w:rPr>
          <w:rFonts w:hint="eastAsia" w:ascii="方正小标宋简体" w:hAnsi="微软雅黑" w:eastAsia="方正小标宋简体"/>
          <w:b w:val="0"/>
          <w:bCs w:val="0"/>
          <w:sz w:val="44"/>
          <w:szCs w:val="44"/>
        </w:rPr>
        <w:t>实施</w:t>
      </w:r>
      <w:r>
        <w:rPr>
          <w:rFonts w:ascii="方正小标宋简体" w:hAnsi="微软雅黑" w:eastAsia="方正小标宋简体"/>
          <w:b w:val="0"/>
          <w:bCs w:val="0"/>
          <w:sz w:val="44"/>
          <w:szCs w:val="44"/>
        </w:rPr>
        <w:t>细则</w:t>
      </w:r>
      <w:r>
        <w:rPr>
          <w:rFonts w:hint="eastAsia" w:ascii="方正小标宋简体" w:hAnsi="微软雅黑" w:eastAsia="方正小标宋简体"/>
          <w:b w:val="0"/>
          <w:bCs w:val="0"/>
          <w:sz w:val="44"/>
          <w:szCs w:val="44"/>
        </w:rPr>
        <w:t>（试行）</w:t>
      </w:r>
    </w:p>
    <w:p>
      <w:pPr>
        <w:keepNext w:val="0"/>
        <w:keepLines w:val="0"/>
        <w:pageBreakBefore w:val="0"/>
        <w:tabs>
          <w:tab w:val="left" w:pos="3336"/>
        </w:tabs>
        <w:kinsoku/>
        <w:wordWrap/>
        <w:overflowPunct/>
        <w:topLinePunct w:val="0"/>
        <w:autoSpaceDE/>
        <w:autoSpaceDN/>
        <w:bidi w:val="0"/>
        <w:adjustRightInd/>
        <w:snapToGrid/>
        <w:spacing w:line="580" w:lineRule="exact"/>
        <w:ind w:right="0" w:rightChars="0"/>
        <w:jc w:val="center"/>
        <w:textAlignment w:val="auto"/>
        <w:outlineLvl w:val="9"/>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（征求意见稿）</w:t>
      </w:r>
    </w:p>
    <w:p>
      <w:pPr>
        <w:keepNext w:val="0"/>
        <w:keepLines w:val="0"/>
        <w:pageBreakBefore w:val="0"/>
        <w:tabs>
          <w:tab w:val="left" w:pos="3336"/>
        </w:tabs>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黑体" w:hAnsi="黑体" w:eastAsia="黑体"/>
          <w:bCs/>
          <w:sz w:val="32"/>
          <w:szCs w:val="32"/>
        </w:rPr>
      </w:pPr>
    </w:p>
    <w:p>
      <w:pPr>
        <w:keepNext w:val="0"/>
        <w:keepLines w:val="0"/>
        <w:pageBreakBefore w:val="0"/>
        <w:tabs>
          <w:tab w:val="left" w:pos="3336"/>
        </w:tabs>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第一章 总则</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rPr>
        <w:t>第一条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eastAsia="zh-CN"/>
        </w:rPr>
        <w:t>为贯彻落实中共中央、国务院</w:t>
      </w:r>
      <w:r>
        <w:rPr>
          <w:rFonts w:hint="eastAsia" w:ascii="仿宋_GB2312" w:hAnsi="仿宋" w:eastAsia="仿宋_GB2312" w:cs="仿宋"/>
          <w:sz w:val="32"/>
          <w:szCs w:val="32"/>
        </w:rPr>
        <w:t>《深化新时代教育评价改革总体方案》</w:t>
      </w:r>
      <w:r>
        <w:rPr>
          <w:rFonts w:hint="eastAsia" w:ascii="仿宋_GB2312" w:hAnsi="仿宋" w:eastAsia="仿宋_GB2312" w:cs="仿宋"/>
          <w:sz w:val="32"/>
          <w:szCs w:val="32"/>
          <w:lang w:eastAsia="zh-CN"/>
        </w:rPr>
        <w:t>、中共中央办公厅、国务院办公厅</w:t>
      </w:r>
      <w:r>
        <w:rPr>
          <w:rFonts w:hint="eastAsia" w:ascii="仿宋_GB2312" w:hAnsi="仿宋" w:eastAsia="仿宋_GB2312" w:cs="仿宋"/>
          <w:sz w:val="32"/>
          <w:szCs w:val="32"/>
        </w:rPr>
        <w:t>《关于深化新时代教育督导体制机制改革的意见》</w:t>
      </w:r>
      <w:r>
        <w:rPr>
          <w:rFonts w:hint="eastAsia" w:ascii="仿宋_GB2312" w:hAnsi="仿宋" w:eastAsia="仿宋_GB2312" w:cs="仿宋"/>
          <w:sz w:val="32"/>
          <w:szCs w:val="32"/>
          <w:lang w:eastAsia="zh-CN"/>
        </w:rPr>
        <w:t>精神，加强学士学位授予质量监督，提高本科人才培养基本质量，根据</w:t>
      </w:r>
      <w:r>
        <w:rPr>
          <w:rFonts w:hint="eastAsia" w:ascii="仿宋_GB2312" w:hAnsi="仿宋" w:eastAsia="仿宋_GB2312" w:cs="仿宋"/>
          <w:sz w:val="32"/>
          <w:szCs w:val="32"/>
        </w:rPr>
        <w:t>《</w:t>
      </w:r>
      <w:r>
        <w:rPr>
          <w:rFonts w:hint="eastAsia" w:ascii="仿宋_GB2312" w:hAnsi="仿宋" w:eastAsia="仿宋_GB2312" w:cs="仿宋"/>
          <w:sz w:val="32"/>
          <w:szCs w:val="32"/>
          <w:lang w:eastAsia="zh-CN"/>
        </w:rPr>
        <w:t>教育部关于印发</w:t>
      </w:r>
      <w:r>
        <w:rPr>
          <w:rFonts w:hint="eastAsia" w:ascii="仿宋_GB2312" w:hAnsi="仿宋" w:eastAsia="仿宋_GB2312" w:cs="仿宋"/>
          <w:sz w:val="32"/>
          <w:szCs w:val="32"/>
          <w:lang w:val="en-US" w:eastAsia="zh-CN"/>
        </w:rPr>
        <w:t>&lt;</w:t>
      </w:r>
      <w:r>
        <w:rPr>
          <w:rFonts w:hint="eastAsia" w:ascii="仿宋_GB2312" w:hAnsi="仿宋" w:eastAsia="仿宋_GB2312" w:cs="仿宋"/>
          <w:sz w:val="32"/>
          <w:szCs w:val="32"/>
        </w:rPr>
        <w:t>本科毕业论文（设计）抽检办法（试行）</w:t>
      </w:r>
      <w:r>
        <w:rPr>
          <w:rFonts w:hint="eastAsia" w:ascii="仿宋_GB2312" w:hAnsi="仿宋" w:eastAsia="仿宋_GB2312" w:cs="仿宋"/>
          <w:sz w:val="32"/>
          <w:szCs w:val="32"/>
          <w:lang w:val="en-US" w:eastAsia="zh-CN"/>
        </w:rPr>
        <w:t>&gt;的通知</w:t>
      </w:r>
      <w:r>
        <w:rPr>
          <w:rFonts w:hint="eastAsia" w:ascii="仿宋_GB2312" w:hAnsi="仿宋" w:eastAsia="仿宋_GB2312" w:cs="仿宋"/>
          <w:sz w:val="32"/>
          <w:szCs w:val="32"/>
        </w:rPr>
        <w:t>》</w:t>
      </w:r>
      <w:r>
        <w:rPr>
          <w:rFonts w:hint="eastAsia" w:ascii="仿宋_GB2312" w:hAnsi="仿宋" w:eastAsia="仿宋_GB2312" w:cs="仿宋"/>
          <w:sz w:val="32"/>
          <w:szCs w:val="32"/>
          <w:lang w:eastAsia="zh-CN"/>
        </w:rPr>
        <w:t>（教督</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2020〕5号</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要求，</w:t>
      </w:r>
      <w:r>
        <w:rPr>
          <w:rFonts w:hint="eastAsia" w:ascii="仿宋_GB2312" w:hAnsi="仿宋" w:eastAsia="仿宋_GB2312" w:cs="仿宋"/>
          <w:sz w:val="32"/>
          <w:szCs w:val="32"/>
          <w:lang w:eastAsia="zh-CN"/>
        </w:rPr>
        <w:t>制定本实施细则。</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lang w:eastAsia="zh-CN"/>
        </w:rPr>
      </w:pPr>
      <w:r>
        <w:rPr>
          <w:rFonts w:hint="eastAsia" w:ascii="楷体" w:hAnsi="楷体" w:eastAsia="楷体" w:cs="楷体"/>
          <w:b/>
          <w:bCs/>
          <w:sz w:val="32"/>
          <w:szCs w:val="32"/>
        </w:rPr>
        <w:t>第二条</w:t>
      </w:r>
      <w:r>
        <w:rPr>
          <w:rFonts w:hint="eastAsia" w:ascii="仿宋_GB2312" w:hAnsi="仿宋" w:eastAsia="仿宋_GB2312" w:cs="仿宋"/>
          <w:sz w:val="32"/>
          <w:szCs w:val="32"/>
        </w:rPr>
        <w:t xml:space="preserve"> 省教育厅负责</w:t>
      </w:r>
      <w:r>
        <w:rPr>
          <w:rFonts w:hint="eastAsia" w:ascii="仿宋_GB2312" w:hAnsi="仿宋" w:eastAsia="仿宋_GB2312" w:cs="仿宋"/>
          <w:sz w:val="32"/>
          <w:szCs w:val="32"/>
          <w:lang w:eastAsia="zh-CN"/>
        </w:rPr>
        <w:t>全</w:t>
      </w:r>
      <w:r>
        <w:rPr>
          <w:rFonts w:hint="eastAsia" w:ascii="仿宋_GB2312" w:hAnsi="仿宋" w:eastAsia="仿宋_GB2312" w:cs="仿宋"/>
          <w:sz w:val="32"/>
          <w:szCs w:val="32"/>
        </w:rPr>
        <w:t>省本科毕业论文</w:t>
      </w:r>
      <w:r>
        <w:rPr>
          <w:rFonts w:hint="eastAsia" w:ascii="仿宋_GB2312" w:hAnsi="仿宋" w:eastAsia="仿宋_GB2312" w:cs="仿宋"/>
          <w:sz w:val="32"/>
          <w:szCs w:val="32"/>
          <w:lang w:eastAsia="zh-CN"/>
        </w:rPr>
        <w:t>（设计）（以下简称本科毕业论文）</w:t>
      </w:r>
      <w:r>
        <w:rPr>
          <w:rFonts w:hint="eastAsia" w:ascii="仿宋_GB2312" w:hAnsi="仿宋" w:eastAsia="仿宋_GB2312" w:cs="仿宋"/>
          <w:sz w:val="32"/>
          <w:szCs w:val="32"/>
        </w:rPr>
        <w:t>抽检</w:t>
      </w:r>
      <w:r>
        <w:rPr>
          <w:rFonts w:hint="eastAsia" w:ascii="仿宋_GB2312" w:hAnsi="仿宋" w:eastAsia="仿宋_GB2312" w:cs="仿宋"/>
          <w:sz w:val="32"/>
          <w:szCs w:val="32"/>
          <w:lang w:eastAsia="zh-CN"/>
        </w:rPr>
        <w:t>工作的统筹组织，省学位委员会办公室负责抽检工作的组织实施，具体抽检工作可委托第三方专业机构开展。</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eastAsia="zh-CN"/>
        </w:rPr>
        <w:t>第三条</w:t>
      </w:r>
      <w:r>
        <w:rPr>
          <w:rFonts w:hint="eastAsia" w:ascii="仿宋_GB2312" w:hAnsi="仿宋" w:eastAsia="仿宋_GB2312" w:cs="仿宋"/>
          <w:sz w:val="32"/>
          <w:szCs w:val="32"/>
          <w:lang w:val="en-US" w:eastAsia="zh-CN"/>
        </w:rPr>
        <w:t xml:space="preserve"> 本科毕业论文抽检工作应</w:t>
      </w:r>
      <w:r>
        <w:rPr>
          <w:rFonts w:hint="eastAsia" w:ascii="仿宋_GB2312" w:hAnsi="仿宋" w:eastAsia="仿宋_GB2312" w:cs="仿宋"/>
          <w:sz w:val="32"/>
          <w:szCs w:val="32"/>
        </w:rPr>
        <w:t>遵循独立、客观、科学、公正原则，任何单位和个人都不得以任何方式干扰抽检工作的正常进行。</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lang w:eastAsia="zh-CN"/>
        </w:rPr>
      </w:pPr>
      <w:r>
        <w:rPr>
          <w:rFonts w:hint="eastAsia" w:ascii="楷体" w:hAnsi="楷体" w:eastAsia="楷体" w:cs="楷体"/>
          <w:b/>
          <w:bCs/>
          <w:sz w:val="32"/>
          <w:szCs w:val="32"/>
          <w:lang w:eastAsia="zh-CN"/>
        </w:rPr>
        <w:t>第四条</w:t>
      </w:r>
      <w:r>
        <w:rPr>
          <w:rFonts w:hint="eastAsia" w:ascii="仿宋_GB2312" w:hAnsi="仿宋" w:eastAsia="仿宋_GB2312" w:cs="仿宋"/>
          <w:sz w:val="32"/>
          <w:szCs w:val="32"/>
        </w:rPr>
        <w:t xml:space="preserve"> 本科毕业论文抽检每年进行一次，抽检对象为上一学年度授予学士学位的论文，抽检比例原则上应不低于2%。</w:t>
      </w:r>
      <w:r>
        <w:rPr>
          <w:rFonts w:hint="eastAsia" w:ascii="仿宋_GB2312" w:hAnsi="仿宋" w:eastAsia="仿宋_GB2312" w:cs="仿宋"/>
          <w:sz w:val="32"/>
          <w:szCs w:val="32"/>
          <w:lang w:eastAsia="zh-CN"/>
        </w:rPr>
        <w:t>抽检论文应覆盖</w:t>
      </w:r>
      <w:r>
        <w:rPr>
          <w:rFonts w:hint="eastAsia" w:ascii="仿宋_GB2312" w:hAnsi="仿宋" w:eastAsia="仿宋_GB2312" w:cs="仿宋"/>
          <w:sz w:val="32"/>
          <w:szCs w:val="32"/>
          <w:lang w:val="en-US" w:eastAsia="zh-CN"/>
        </w:rPr>
        <w:t>本</w:t>
      </w:r>
      <w:r>
        <w:rPr>
          <w:rFonts w:hint="eastAsia" w:ascii="仿宋_GB2312" w:hAnsi="仿宋" w:eastAsia="仿宋_GB2312" w:cs="仿宋"/>
          <w:sz w:val="32"/>
          <w:szCs w:val="32"/>
          <w:lang w:eastAsia="zh-CN"/>
        </w:rPr>
        <w:t>省所有本科层次高校及其全部本科专业。对于新专业、上一年度抽检有“存在问题毕业论文”等需要重点监测的专业适度提高本科毕业论文抽检比例。</w:t>
      </w:r>
    </w:p>
    <w:p>
      <w:pPr>
        <w:keepNext w:val="0"/>
        <w:keepLines w:val="0"/>
        <w:pageBreakBefore w:val="0"/>
        <w:tabs>
          <w:tab w:val="left" w:pos="3336"/>
        </w:tabs>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第二章 评议要素</w:t>
      </w:r>
      <w:r>
        <w:rPr>
          <w:rFonts w:hint="eastAsia" w:ascii="黑体" w:hAnsi="黑体" w:eastAsia="黑体"/>
          <w:bCs/>
          <w:sz w:val="32"/>
          <w:szCs w:val="32"/>
          <w:lang w:eastAsia="zh-CN"/>
        </w:rPr>
        <w:t>和</w:t>
      </w:r>
      <w:r>
        <w:rPr>
          <w:rFonts w:hint="eastAsia" w:ascii="黑体" w:hAnsi="黑体" w:eastAsia="黑体"/>
          <w:bCs/>
          <w:sz w:val="32"/>
          <w:szCs w:val="32"/>
        </w:rPr>
        <w:t>重点</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eastAsia="zh-CN"/>
        </w:rPr>
        <w:t>第五条</w:t>
      </w:r>
      <w:r>
        <w:rPr>
          <w:rFonts w:hint="eastAsia" w:ascii="仿宋_GB2312" w:hAnsi="仿宋" w:eastAsia="仿宋_GB2312" w:cs="仿宋"/>
          <w:sz w:val="32"/>
          <w:szCs w:val="32"/>
        </w:rPr>
        <w:t xml:space="preserve"> 本科毕业论文抽检重点对选题意义、写作安排、逻辑构建、专业能力以及学术规范等进行考察。</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lang w:val="en-US" w:eastAsia="zh-CN"/>
        </w:rPr>
      </w:pPr>
      <w:r>
        <w:rPr>
          <w:rFonts w:hint="eastAsia" w:ascii="楷体" w:hAnsi="楷体" w:eastAsia="楷体" w:cs="楷体"/>
          <w:b/>
          <w:bCs/>
          <w:sz w:val="32"/>
          <w:szCs w:val="32"/>
          <w:lang w:eastAsia="zh-CN"/>
        </w:rPr>
        <w:t>第</w:t>
      </w:r>
      <w:r>
        <w:rPr>
          <w:rFonts w:hint="eastAsia" w:ascii="楷体" w:hAnsi="楷体" w:eastAsia="楷体" w:cs="楷体"/>
          <w:b/>
          <w:bCs/>
          <w:sz w:val="32"/>
          <w:szCs w:val="32"/>
          <w:lang w:val="en-US" w:eastAsia="zh-CN"/>
        </w:rPr>
        <w:t>六</w:t>
      </w:r>
      <w:r>
        <w:rPr>
          <w:rFonts w:hint="eastAsia" w:ascii="楷体" w:hAnsi="楷体" w:eastAsia="楷体" w:cs="楷体"/>
          <w:b/>
          <w:bCs/>
          <w:sz w:val="32"/>
          <w:szCs w:val="32"/>
          <w:lang w:eastAsia="zh-CN"/>
        </w:rPr>
        <w:t>条</w:t>
      </w:r>
      <w:r>
        <w:rPr>
          <w:rFonts w:hint="eastAsia" w:ascii="仿宋_GB2312" w:hAnsi="仿宋" w:eastAsia="仿宋_GB2312" w:cs="仿宋"/>
          <w:sz w:val="32"/>
          <w:szCs w:val="32"/>
          <w:lang w:val="en-US" w:eastAsia="zh-CN"/>
        </w:rPr>
        <w:t xml:space="preserve"> 省</w:t>
      </w:r>
      <w:r>
        <w:rPr>
          <w:rFonts w:hint="eastAsia" w:ascii="仿宋_GB2312" w:hAnsi="仿宋" w:eastAsia="仿宋_GB2312" w:cs="仿宋"/>
          <w:sz w:val="32"/>
          <w:szCs w:val="32"/>
        </w:rPr>
        <w:t>教育厅</w:t>
      </w:r>
      <w:r>
        <w:rPr>
          <w:rFonts w:hint="eastAsia" w:ascii="仿宋_GB2312" w:hAnsi="仿宋" w:eastAsia="仿宋_GB2312" w:cs="仿宋"/>
          <w:sz w:val="32"/>
          <w:szCs w:val="32"/>
          <w:lang w:val="en-US" w:eastAsia="zh-CN"/>
        </w:rPr>
        <w:t>根据</w:t>
      </w:r>
      <w:r>
        <w:rPr>
          <w:rFonts w:hint="eastAsia" w:ascii="仿宋_GB2312" w:hAnsi="仿宋" w:eastAsia="仿宋_GB2312" w:cs="仿宋"/>
          <w:sz w:val="32"/>
          <w:szCs w:val="32"/>
        </w:rPr>
        <w:t>本科毕业论文抽检重点，制定《福建省本科毕业论文（设计）抽检评议要素</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试行</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见附件</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rPr>
        <w:t>，</w:t>
      </w:r>
      <w:r>
        <w:rPr>
          <w:rFonts w:hint="eastAsia" w:ascii="仿宋_GB2312" w:hAnsi="仿宋" w:eastAsia="仿宋_GB2312" w:cs="仿宋"/>
          <w:sz w:val="32"/>
          <w:szCs w:val="32"/>
          <w:lang w:val="en-US" w:eastAsia="zh-CN"/>
        </w:rPr>
        <w:t>其他形式的专业类毕业论文的评议参照此要素进行。</w:t>
      </w:r>
    </w:p>
    <w:p>
      <w:pPr>
        <w:pStyle w:val="5"/>
        <w:shd w:val="clear" w:color="auto" w:fill="FFFFFF"/>
        <w:spacing w:before="0" w:beforeAutospacing="0" w:after="0" w:afterAutospacing="0"/>
        <w:ind w:firstLine="643" w:firstLineChars="200"/>
        <w:outlineLvl w:val="9"/>
        <w:rPr>
          <w:rFonts w:hint="default" w:ascii="仿宋_GB2312" w:hAnsi="仿宋" w:eastAsia="仿宋_GB2312" w:cs="仿宋"/>
          <w:sz w:val="32"/>
          <w:szCs w:val="32"/>
          <w:lang w:val="en-US" w:eastAsia="zh-CN"/>
        </w:rPr>
      </w:pPr>
      <w:r>
        <w:rPr>
          <w:rFonts w:hint="eastAsia" w:ascii="楷体" w:hAnsi="楷体" w:eastAsia="楷体" w:cs="楷体"/>
          <w:b/>
          <w:bCs/>
          <w:sz w:val="32"/>
          <w:szCs w:val="32"/>
          <w:lang w:val="en-US" w:eastAsia="zh-CN"/>
        </w:rPr>
        <w:t>第七条</w:t>
      </w:r>
      <w:r>
        <w:rPr>
          <w:rFonts w:hint="eastAsia" w:ascii="仿宋_GB2312" w:hAnsi="仿宋" w:eastAsia="仿宋_GB2312" w:cs="仿宋"/>
          <w:sz w:val="32"/>
          <w:szCs w:val="32"/>
          <w:lang w:val="en-US" w:eastAsia="zh-CN"/>
        </w:rPr>
        <w:t xml:space="preserve"> 评议专家根据评议要素，</w:t>
      </w:r>
      <w:r>
        <w:rPr>
          <w:rFonts w:hint="eastAsia" w:ascii="仿宋_GB2312" w:hAnsi="仿宋" w:eastAsia="仿宋_GB2312" w:cs="仿宋"/>
          <w:sz w:val="32"/>
          <w:szCs w:val="32"/>
        </w:rPr>
        <w:t>参照《普通高等学校本科专业类教学质量国家标准》等要求</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对本科毕业论文进行评议。</w:t>
      </w:r>
    </w:p>
    <w:p>
      <w:pPr>
        <w:ind w:firstLine="0" w:firstLineChars="0"/>
        <w:jc w:val="center"/>
        <w:outlineLvl w:val="9"/>
        <w:rPr>
          <w:rFonts w:hint="eastAsia" w:ascii="黑体" w:hAnsi="黑体" w:eastAsia="黑体"/>
          <w:bCs/>
          <w:sz w:val="32"/>
          <w:szCs w:val="32"/>
        </w:rPr>
      </w:pPr>
      <w:r>
        <w:rPr>
          <w:rFonts w:hint="eastAsia" w:ascii="黑体" w:hAnsi="黑体" w:eastAsia="黑体"/>
          <w:bCs/>
          <w:sz w:val="32"/>
          <w:szCs w:val="32"/>
        </w:rPr>
        <w:t>第三章 工作程序</w:t>
      </w:r>
    </w:p>
    <w:p>
      <w:pPr>
        <w:pStyle w:val="5"/>
        <w:keepNext w:val="0"/>
        <w:keepLines w:val="0"/>
        <w:pageBreakBefore w:val="0"/>
        <w:widowControl/>
        <w:suppressLineNumbers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i w:val="0"/>
          <w:caps w:val="0"/>
          <w:spacing w:val="0"/>
          <w:sz w:val="32"/>
          <w:szCs w:val="32"/>
          <w:lang w:val="en-US" w:eastAsia="zh-CN"/>
        </w:rPr>
      </w:pPr>
      <w:r>
        <w:rPr>
          <w:rFonts w:hint="eastAsia" w:ascii="楷体" w:hAnsi="楷体" w:eastAsia="楷体" w:cs="楷体"/>
          <w:b/>
          <w:bCs/>
          <w:sz w:val="32"/>
          <w:szCs w:val="32"/>
          <w:lang w:val="en-US" w:eastAsia="zh-CN"/>
        </w:rPr>
        <w:t>第八条</w:t>
      </w:r>
      <w:r>
        <w:rPr>
          <w:rFonts w:hint="eastAsia" w:ascii="仿宋_GB2312" w:hAnsi="仿宋" w:eastAsia="仿宋_GB2312" w:cs="仿宋"/>
          <w:i w:val="0"/>
          <w:caps w:val="0"/>
          <w:spacing w:val="0"/>
          <w:sz w:val="32"/>
          <w:szCs w:val="32"/>
          <w:lang w:val="en-US" w:eastAsia="zh-CN"/>
        </w:rPr>
        <w:t xml:space="preserve"> 省教育厅根据教育部统一部署，制定当年度本科毕业论文抽检工作的具体要求，组织开展年度论文抽检工作。</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第九条</w:t>
      </w:r>
      <w:r>
        <w:rPr>
          <w:rFonts w:hint="eastAsia" w:ascii="仿宋_GB2312" w:hAnsi="仿宋" w:eastAsia="仿宋_GB2312" w:cs="仿宋"/>
          <w:i w:val="0"/>
          <w:caps w:val="0"/>
          <w:spacing w:val="0"/>
          <w:sz w:val="32"/>
          <w:szCs w:val="32"/>
          <w:lang w:val="en-US" w:eastAsia="zh-CN"/>
        </w:rPr>
        <w:t xml:space="preserve"> 省教育厅依托教育部</w:t>
      </w:r>
      <w:r>
        <w:rPr>
          <w:rFonts w:hint="eastAsia" w:ascii="仿宋_GB2312" w:hAnsi="仿宋" w:eastAsia="仿宋_GB2312" w:cs="仿宋"/>
          <w:sz w:val="32"/>
          <w:szCs w:val="32"/>
          <w:lang w:val="en-US" w:eastAsia="zh-CN"/>
        </w:rPr>
        <w:t>的</w:t>
      </w:r>
      <w:r>
        <w:rPr>
          <w:rFonts w:hint="eastAsia" w:ascii="仿宋_GB2312" w:hAnsi="仿宋" w:eastAsia="仿宋_GB2312" w:cs="仿宋"/>
          <w:sz w:val="32"/>
          <w:szCs w:val="32"/>
        </w:rPr>
        <w:t>全国本科毕业论文抽检信息平台（以下简称抽检信息平台）和</w:t>
      </w:r>
      <w:r>
        <w:rPr>
          <w:rFonts w:hint="eastAsia" w:ascii="仿宋_GB2312" w:hAnsi="仿宋" w:eastAsia="仿宋_GB2312" w:cs="仿宋"/>
          <w:sz w:val="32"/>
          <w:szCs w:val="32"/>
          <w:lang w:val="en-US" w:eastAsia="zh-CN"/>
        </w:rPr>
        <w:t>本</w:t>
      </w:r>
      <w:r>
        <w:rPr>
          <w:rFonts w:hint="eastAsia" w:ascii="仿宋_GB2312" w:hAnsi="仿宋" w:eastAsia="仿宋_GB2312" w:cs="仿宋"/>
          <w:sz w:val="32"/>
          <w:szCs w:val="32"/>
        </w:rPr>
        <w:t>省学士学位授予信息，采取随机抽取的方式确定抽检名单。</w:t>
      </w:r>
      <w:r>
        <w:rPr>
          <w:rFonts w:hint="eastAsia" w:ascii="仿宋_GB2312" w:hAnsi="仿宋" w:eastAsia="仿宋_GB2312" w:cs="仿宋"/>
          <w:sz w:val="32"/>
          <w:szCs w:val="32"/>
          <w:lang w:val="en-US" w:eastAsia="zh-CN"/>
        </w:rPr>
        <w:t>同时，</w:t>
      </w:r>
      <w:r>
        <w:rPr>
          <w:rFonts w:hint="eastAsia" w:ascii="仿宋_GB2312" w:hAnsi="仿宋" w:eastAsia="仿宋_GB2312" w:cs="仿宋"/>
          <w:sz w:val="32"/>
          <w:szCs w:val="32"/>
        </w:rPr>
        <w:t>利用抽检信息平台对抽检论文进行学术不端行为检测，检测结果供专家评审参考。</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i w:val="0"/>
          <w:caps w:val="0"/>
          <w:spacing w:val="0"/>
          <w:sz w:val="32"/>
          <w:szCs w:val="32"/>
          <w:lang w:val="en-US" w:eastAsia="zh-CN"/>
        </w:rPr>
      </w:pPr>
      <w:r>
        <w:rPr>
          <w:rFonts w:hint="eastAsia" w:ascii="楷体" w:hAnsi="楷体" w:eastAsia="楷体" w:cs="楷体"/>
          <w:b/>
          <w:bCs/>
          <w:sz w:val="32"/>
          <w:szCs w:val="32"/>
          <w:lang w:val="en-US" w:eastAsia="zh-CN"/>
        </w:rPr>
        <w:t>第十条</w:t>
      </w:r>
      <w:r>
        <w:rPr>
          <w:rFonts w:hint="eastAsia" w:ascii="仿宋_GB2312" w:hAnsi="仿宋" w:eastAsia="仿宋_GB2312" w:cs="仿宋"/>
          <w:i w:val="0"/>
          <w:caps w:val="0"/>
          <w:spacing w:val="0"/>
          <w:sz w:val="32"/>
          <w:szCs w:val="32"/>
        </w:rPr>
        <w:t> 各学位授予单位应按规范要求报送抽取的</w:t>
      </w:r>
      <w:r>
        <w:rPr>
          <w:rFonts w:hint="eastAsia" w:ascii="仿宋_GB2312" w:hAnsi="仿宋" w:eastAsia="仿宋_GB2312" w:cs="仿宋"/>
          <w:i w:val="0"/>
          <w:caps w:val="0"/>
          <w:spacing w:val="0"/>
          <w:sz w:val="32"/>
          <w:szCs w:val="32"/>
          <w:lang w:val="en-US" w:eastAsia="zh-CN"/>
        </w:rPr>
        <w:t>本科毕业</w:t>
      </w:r>
      <w:r>
        <w:rPr>
          <w:rFonts w:hint="eastAsia" w:ascii="仿宋_GB2312" w:hAnsi="仿宋" w:eastAsia="仿宋_GB2312" w:cs="仿宋"/>
          <w:i w:val="0"/>
          <w:caps w:val="0"/>
          <w:spacing w:val="0"/>
          <w:sz w:val="32"/>
          <w:szCs w:val="32"/>
        </w:rPr>
        <w:t>论文。报送的</w:t>
      </w:r>
      <w:r>
        <w:rPr>
          <w:rFonts w:hint="eastAsia" w:ascii="仿宋_GB2312" w:hAnsi="仿宋" w:eastAsia="仿宋_GB2312" w:cs="仿宋"/>
          <w:i w:val="0"/>
          <w:caps w:val="0"/>
          <w:spacing w:val="0"/>
          <w:sz w:val="32"/>
          <w:szCs w:val="32"/>
          <w:lang w:val="en-US" w:eastAsia="zh-CN"/>
        </w:rPr>
        <w:t>本科毕业</w:t>
      </w:r>
      <w:r>
        <w:rPr>
          <w:rFonts w:hint="eastAsia" w:ascii="仿宋_GB2312" w:hAnsi="仿宋" w:eastAsia="仿宋_GB2312" w:cs="仿宋"/>
          <w:i w:val="0"/>
          <w:caps w:val="0"/>
          <w:spacing w:val="0"/>
          <w:sz w:val="32"/>
          <w:szCs w:val="32"/>
        </w:rPr>
        <w:t>论文应为授予学位时存档</w:t>
      </w:r>
      <w:r>
        <w:rPr>
          <w:rFonts w:hint="eastAsia" w:ascii="仿宋_GB2312" w:hAnsi="仿宋" w:eastAsia="仿宋_GB2312" w:cs="仿宋"/>
          <w:i w:val="0"/>
          <w:caps w:val="0"/>
          <w:spacing w:val="0"/>
          <w:sz w:val="32"/>
          <w:szCs w:val="32"/>
          <w:lang w:val="en-US" w:eastAsia="zh-CN"/>
        </w:rPr>
        <w:t>的论文电子件或论文</w:t>
      </w:r>
      <w:r>
        <w:rPr>
          <w:rFonts w:hint="eastAsia" w:ascii="仿宋_GB2312" w:hAnsi="仿宋" w:eastAsia="仿宋_GB2312" w:cs="仿宋"/>
          <w:i w:val="0"/>
          <w:caps w:val="0"/>
          <w:spacing w:val="0"/>
          <w:sz w:val="32"/>
          <w:szCs w:val="32"/>
        </w:rPr>
        <w:t>复印件</w:t>
      </w:r>
      <w:r>
        <w:rPr>
          <w:rFonts w:hint="eastAsia" w:ascii="仿宋_GB2312" w:hAnsi="仿宋" w:eastAsia="仿宋_GB2312" w:cs="仿宋"/>
          <w:i w:val="0"/>
          <w:caps w:val="0"/>
          <w:spacing w:val="0"/>
          <w:sz w:val="32"/>
          <w:szCs w:val="32"/>
          <w:lang w:eastAsia="zh-CN"/>
        </w:rPr>
        <w:t>。</w:t>
      </w:r>
      <w:r>
        <w:rPr>
          <w:rFonts w:hint="eastAsia" w:ascii="仿宋_GB2312" w:hAnsi="仿宋" w:eastAsia="仿宋_GB2312" w:cs="仿宋"/>
          <w:i w:val="0"/>
          <w:caps w:val="0"/>
          <w:spacing w:val="0"/>
          <w:sz w:val="32"/>
          <w:szCs w:val="32"/>
          <w:lang w:val="en-US" w:eastAsia="zh-CN"/>
        </w:rPr>
        <w:t>除提供本科毕业论文外，还应提供论文开题报告、成绩评定书等必要的材料，对于有特殊培养要求的学生，还需提供经学校学术委员会或相关部门通过的特殊培养方案或者毕业论文特殊要求等支撑材料，供专家评议时参考。</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第十一条</w:t>
      </w:r>
      <w:r>
        <w:rPr>
          <w:rFonts w:hint="eastAsia" w:ascii="仿宋_GB2312" w:hAnsi="仿宋" w:eastAsia="仿宋_GB2312" w:cs="仿宋"/>
          <w:i w:val="0"/>
          <w:caps w:val="0"/>
          <w:spacing w:val="0"/>
          <w:sz w:val="32"/>
          <w:szCs w:val="32"/>
          <w:lang w:val="en-US" w:eastAsia="zh-CN"/>
        </w:rPr>
        <w:t xml:space="preserve"> </w:t>
      </w:r>
      <w:r>
        <w:rPr>
          <w:rFonts w:hint="eastAsia" w:ascii="仿宋_GB2312" w:hAnsi="仿宋" w:eastAsia="仿宋_GB2312" w:cs="仿宋"/>
          <w:sz w:val="32"/>
          <w:szCs w:val="32"/>
          <w:lang w:val="en-US" w:eastAsia="zh-CN"/>
        </w:rPr>
        <w:t>省</w:t>
      </w:r>
      <w:r>
        <w:rPr>
          <w:rFonts w:hint="eastAsia" w:ascii="仿宋_GB2312" w:hAnsi="仿宋" w:eastAsia="仿宋_GB2312" w:cs="仿宋"/>
          <w:sz w:val="32"/>
          <w:szCs w:val="32"/>
        </w:rPr>
        <w:t>教育厅采取随机匹配方式组织同行专家对抽检论文进行评议</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评价专家按照“合格”和“不合格”两档评定论文，并</w:t>
      </w:r>
      <w:r>
        <w:rPr>
          <w:rFonts w:hint="eastAsia" w:ascii="仿宋_GB2312" w:hAnsi="仿宋" w:eastAsia="仿宋_GB2312" w:cs="仿宋"/>
          <w:sz w:val="32"/>
          <w:szCs w:val="32"/>
        </w:rPr>
        <w:t>提出评议意见</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对评议为“不合格”的毕业论文，须明确指出存在的问题</w:t>
      </w:r>
      <w:r>
        <w:rPr>
          <w:rFonts w:hint="eastAsia" w:ascii="仿宋_GB2312" w:hAnsi="仿宋" w:eastAsia="仿宋_GB2312" w:cs="仿宋"/>
          <w:sz w:val="32"/>
          <w:szCs w:val="32"/>
        </w:rPr>
        <w:t>。每篇论文送3位同行专家，3位专家中有2位以上（含2位）专家评议意见为“不合格”的毕业论文，将认定为“存在问题毕业论文”。3位专家中有1位专家评议意见为“不合格”，将再送2位同行专家进行复评。2位复评专家中有1位以上（含1位）专家评议意见为“不合格”，将认定为“存在问题毕业论文”。</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第十二条</w:t>
      </w:r>
      <w:r>
        <w:rPr>
          <w:rFonts w:hint="eastAsia" w:ascii="仿宋_GB2312" w:hAnsi="仿宋" w:eastAsia="仿宋_GB2312" w:cs="仿宋"/>
          <w:sz w:val="32"/>
          <w:szCs w:val="32"/>
        </w:rPr>
        <w:t> 除按照盲审要求进行技术处理外，抽检论文若在送检前人为加工修改，将视为学术造假行为，论文直接认定为“存在问题毕业论文”，并对有关人员按照相关规定追究责任。</w:t>
      </w:r>
    </w:p>
    <w:p>
      <w:pPr>
        <w:keepNext w:val="0"/>
        <w:keepLines w:val="0"/>
        <w:pageBreakBefore w:val="0"/>
        <w:tabs>
          <w:tab w:val="left" w:pos="3336"/>
        </w:tabs>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第四章 结果反馈与使用</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第十三条</w:t>
      </w:r>
      <w:r>
        <w:rPr>
          <w:rFonts w:hint="eastAsia" w:ascii="仿宋_GB2312" w:hAnsi="仿宋" w:eastAsia="仿宋_GB2312" w:cs="仿宋"/>
          <w:sz w:val="32"/>
          <w:szCs w:val="32"/>
        </w:rPr>
        <w:t xml:space="preserve"> 本科毕业论文抽检结果</w:t>
      </w:r>
      <w:r>
        <w:rPr>
          <w:rFonts w:hint="eastAsia" w:ascii="仿宋_GB2312" w:hAnsi="仿宋" w:eastAsia="仿宋_GB2312" w:cs="仿宋"/>
          <w:sz w:val="32"/>
          <w:szCs w:val="32"/>
          <w:lang w:val="en-US" w:eastAsia="zh-CN"/>
        </w:rPr>
        <w:t>由省</w:t>
      </w:r>
      <w:r>
        <w:rPr>
          <w:rFonts w:hint="eastAsia" w:ascii="仿宋_GB2312" w:hAnsi="仿宋" w:eastAsia="仿宋_GB2312" w:cs="仿宋"/>
          <w:sz w:val="32"/>
          <w:szCs w:val="32"/>
        </w:rPr>
        <w:t>教育厅向有关高校反馈，抄送省学位委员会，同时报教育部备案。</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第十四条</w:t>
      </w:r>
      <w:r>
        <w:rPr>
          <w:rFonts w:hint="eastAsia" w:ascii="仿宋_GB2312" w:hAnsi="仿宋" w:eastAsia="仿宋_GB2312" w:cs="仿宋"/>
          <w:sz w:val="32"/>
          <w:szCs w:val="32"/>
        </w:rPr>
        <w:t xml:space="preserve"> 本科毕业论文抽检结果的使用。</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微软雅黑" w:eastAsia="仿宋_GB2312"/>
          <w:sz w:val="32"/>
          <w:szCs w:val="32"/>
        </w:rPr>
      </w:pPr>
      <w:r>
        <w:rPr>
          <w:rFonts w:hint="eastAsia" w:ascii="仿宋_GB2312" w:hAnsi="仿宋" w:eastAsia="仿宋_GB2312" w:cs="仿宋"/>
          <w:sz w:val="32"/>
          <w:szCs w:val="32"/>
        </w:rPr>
        <w:t>（一）抽检结果以适当方式向社会公开。</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（二）对连续2年均有“存在问题毕业论文”，且比例较高或篇数较多的高校，</w:t>
      </w:r>
      <w:r>
        <w:rPr>
          <w:rFonts w:hint="eastAsia" w:ascii="仿宋_GB2312" w:hAnsi="仿宋" w:eastAsia="仿宋_GB2312" w:cs="仿宋"/>
          <w:sz w:val="32"/>
          <w:szCs w:val="32"/>
          <w:lang w:val="en-US" w:eastAsia="zh-CN"/>
        </w:rPr>
        <w:t>省</w:t>
      </w:r>
      <w:r>
        <w:rPr>
          <w:rFonts w:hint="eastAsia" w:ascii="仿宋_GB2312" w:hAnsi="仿宋" w:eastAsia="仿宋_GB2312" w:cs="仿宋"/>
          <w:sz w:val="32"/>
          <w:szCs w:val="32"/>
        </w:rPr>
        <w:t>教育厅将予以通报，减少其招生计划，并进行质量约谈，提出限期整改要求。</w:t>
      </w:r>
      <w:r>
        <w:rPr>
          <w:rFonts w:hint="eastAsia" w:ascii="仿宋_GB2312" w:hAnsi="仿宋" w:eastAsia="仿宋_GB2312" w:cs="仿宋"/>
          <w:sz w:val="32"/>
          <w:szCs w:val="32"/>
          <w:lang w:val="en-US" w:eastAsia="zh-CN"/>
        </w:rPr>
        <w:t>有关</w:t>
      </w:r>
      <w:r>
        <w:rPr>
          <w:rFonts w:hint="eastAsia" w:ascii="仿宋_GB2312" w:hAnsi="仿宋" w:eastAsia="仿宋_GB2312" w:cs="仿宋"/>
          <w:sz w:val="32"/>
          <w:szCs w:val="32"/>
        </w:rPr>
        <w:t>高校</w:t>
      </w:r>
      <w:r>
        <w:rPr>
          <w:rFonts w:hint="eastAsia" w:ascii="仿宋_GB2312" w:hAnsi="仿宋" w:eastAsia="仿宋_GB2312" w:cs="仿宋"/>
          <w:sz w:val="32"/>
          <w:szCs w:val="32"/>
          <w:lang w:val="en-US" w:eastAsia="zh-CN"/>
        </w:rPr>
        <w:t>要</w:t>
      </w:r>
      <w:r>
        <w:rPr>
          <w:rFonts w:hint="eastAsia" w:ascii="仿宋_GB2312" w:hAnsi="仿宋" w:eastAsia="仿宋_GB2312" w:cs="仿宋"/>
          <w:sz w:val="32"/>
          <w:szCs w:val="32"/>
        </w:rPr>
        <w:t>对有关部门、学院和个人的人才培养责任落实情况进行调查，依据有关规定予以追责。</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（三）对连续3年抽检存在问题较多的本科专业，经整改仍无法达到要求者，视为不能保证培养质量，</w:t>
      </w:r>
      <w:r>
        <w:rPr>
          <w:rFonts w:hint="eastAsia" w:ascii="仿宋_GB2312" w:hAnsi="仿宋" w:eastAsia="仿宋_GB2312" w:cs="仿宋"/>
          <w:sz w:val="32"/>
          <w:szCs w:val="32"/>
          <w:lang w:val="en-US" w:eastAsia="zh-CN"/>
        </w:rPr>
        <w:t>省</w:t>
      </w:r>
      <w:r>
        <w:rPr>
          <w:rFonts w:hint="eastAsia" w:ascii="仿宋_GB2312" w:hAnsi="仿宋" w:eastAsia="仿宋_GB2312" w:cs="仿宋"/>
          <w:sz w:val="32"/>
          <w:szCs w:val="32"/>
        </w:rPr>
        <w:t>教育厅将依据有关规定责令其暂停招生，或由省学位委员会撤销其学士学位授权点。</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default" w:ascii="仿宋_GB2312" w:hAnsi="仿宋" w:eastAsia="仿宋_GB2312" w:cs="仿宋"/>
          <w:sz w:val="32"/>
          <w:szCs w:val="32"/>
          <w:lang w:val="en-US" w:eastAsia="zh-CN"/>
        </w:rPr>
      </w:pPr>
      <w:r>
        <w:rPr>
          <w:rFonts w:hint="eastAsia" w:ascii="仿宋_GB2312" w:hAnsi="仿宋" w:eastAsia="仿宋_GB2312" w:cs="仿宋"/>
          <w:sz w:val="32"/>
          <w:szCs w:val="32"/>
        </w:rPr>
        <w:t>（四）对涉嫌存在抄袭、剽窃、伪造、篡改、买卖、代写等学术不端行为的毕业论文，</w:t>
      </w:r>
      <w:r>
        <w:rPr>
          <w:rFonts w:hint="eastAsia" w:ascii="仿宋_GB2312" w:hAnsi="仿宋" w:eastAsia="仿宋_GB2312" w:cs="仿宋"/>
          <w:sz w:val="32"/>
          <w:szCs w:val="32"/>
          <w:lang w:val="en-US" w:eastAsia="zh-CN"/>
        </w:rPr>
        <w:t>由相关</w:t>
      </w:r>
      <w:r>
        <w:rPr>
          <w:rFonts w:hint="eastAsia" w:ascii="仿宋_GB2312" w:hAnsi="仿宋" w:eastAsia="仿宋_GB2312" w:cs="仿宋"/>
          <w:sz w:val="32"/>
          <w:szCs w:val="32"/>
        </w:rPr>
        <w:t>高校按照相关程序进行调查核实，对查实的应依法撤销已授予学位，并注销学位证书。</w:t>
      </w:r>
      <w:r>
        <w:rPr>
          <w:rFonts w:hint="eastAsia" w:ascii="仿宋_GB2312" w:hAnsi="仿宋" w:eastAsia="仿宋_GB2312" w:cs="仿宋"/>
          <w:sz w:val="32"/>
          <w:szCs w:val="32"/>
          <w:lang w:val="en-US" w:eastAsia="zh-CN"/>
        </w:rPr>
        <w:t>各高校应将处理结果报省教育厅，并抄送省学位委员会。</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hint="eastAsia" w:ascii="仿宋_GB2312" w:hAnsi="仿宋" w:eastAsia="仿宋_GB2312" w:cs="仿宋"/>
          <w:sz w:val="32"/>
          <w:szCs w:val="32"/>
        </w:rPr>
      </w:pPr>
      <w:r>
        <w:rPr>
          <w:rFonts w:hint="eastAsia" w:ascii="仿宋_GB2312" w:hAnsi="仿宋" w:eastAsia="仿宋_GB2312" w:cs="仿宋"/>
          <w:sz w:val="32"/>
          <w:szCs w:val="32"/>
        </w:rPr>
        <w:t>（五）抽检结果将作为</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双一流</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建设成效评价、</w:t>
      </w:r>
      <w:r>
        <w:rPr>
          <w:rFonts w:hint="eastAsia" w:ascii="仿宋_GB2312" w:hAnsi="仿宋" w:eastAsia="仿宋_GB2312" w:cs="仿宋"/>
          <w:sz w:val="32"/>
          <w:szCs w:val="32"/>
        </w:rPr>
        <w:t>本科教育教学评估、一流本科专业建设、本科专业认证</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招生计划分配、新专业申请、学位点申报以及经费投入</w:t>
      </w:r>
      <w:r>
        <w:rPr>
          <w:rFonts w:hint="eastAsia" w:ascii="仿宋_GB2312" w:hAnsi="仿宋" w:eastAsia="仿宋_GB2312" w:cs="仿宋"/>
          <w:sz w:val="32"/>
          <w:szCs w:val="32"/>
        </w:rPr>
        <w:t>等教育资源配置的重要参考依据。</w:t>
      </w:r>
    </w:p>
    <w:p>
      <w:pPr>
        <w:keepNext w:val="0"/>
        <w:keepLines w:val="0"/>
        <w:pageBreakBefore w:val="0"/>
        <w:tabs>
          <w:tab w:val="left" w:pos="3336"/>
        </w:tabs>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bCs/>
          <w:sz w:val="32"/>
          <w:szCs w:val="32"/>
        </w:rPr>
      </w:pPr>
      <w:r>
        <w:rPr>
          <w:rFonts w:hint="eastAsia" w:ascii="黑体" w:hAnsi="黑体" w:eastAsia="黑体"/>
          <w:bCs/>
          <w:sz w:val="32"/>
          <w:szCs w:val="32"/>
        </w:rPr>
        <w:t>第五章 监督与保障</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lang w:val="en-US" w:eastAsia="zh-CN"/>
        </w:rPr>
      </w:pPr>
      <w:r>
        <w:rPr>
          <w:rFonts w:hint="eastAsia" w:ascii="楷体" w:hAnsi="楷体" w:eastAsia="楷体" w:cs="楷体"/>
          <w:b/>
          <w:bCs/>
          <w:sz w:val="32"/>
          <w:szCs w:val="32"/>
          <w:lang w:val="en-US" w:eastAsia="zh-CN"/>
        </w:rPr>
        <w:t>第十五条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各高校要建立校级本科毕业论文抽检制度，加强对本科毕业论文工作的事前、事中和事后检查，健全毕业环节质量保障体系。省</w:t>
      </w:r>
      <w:r>
        <w:rPr>
          <w:rFonts w:hint="eastAsia" w:ascii="仿宋_GB2312" w:hAnsi="仿宋" w:eastAsia="仿宋_GB2312" w:cs="仿宋"/>
          <w:sz w:val="32"/>
          <w:szCs w:val="32"/>
        </w:rPr>
        <w:t>教育厅定期对各高校本科毕业论文抽检工作情况开展监督检查</w:t>
      </w:r>
      <w:r>
        <w:rPr>
          <w:rFonts w:hint="eastAsia" w:ascii="仿宋_GB2312" w:hAnsi="仿宋" w:eastAsia="仿宋_GB2312" w:cs="仿宋"/>
          <w:sz w:val="32"/>
          <w:szCs w:val="32"/>
          <w:lang w:val="en-US" w:eastAsia="zh-CN"/>
        </w:rPr>
        <w:t>。</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default" w:ascii="仿宋_GB2312" w:hAnsi="仿宋" w:eastAsia="仿宋_GB2312" w:cs="仿宋"/>
          <w:sz w:val="32"/>
          <w:szCs w:val="32"/>
          <w:lang w:val="en-US" w:eastAsia="zh-CN"/>
        </w:rPr>
      </w:pPr>
      <w:r>
        <w:rPr>
          <w:rFonts w:hint="eastAsia" w:ascii="楷体" w:hAnsi="楷体" w:eastAsia="楷体" w:cs="楷体"/>
          <w:b/>
          <w:bCs/>
          <w:sz w:val="32"/>
          <w:szCs w:val="32"/>
          <w:lang w:val="en-US" w:eastAsia="zh-CN"/>
        </w:rPr>
        <w:t>第十六条</w:t>
      </w:r>
      <w:r>
        <w:rPr>
          <w:rFonts w:hint="eastAsia" w:ascii="仿宋_GB2312" w:hAnsi="仿宋" w:eastAsia="仿宋_GB2312" w:cs="仿宋"/>
          <w:sz w:val="32"/>
          <w:szCs w:val="32"/>
        </w:rPr>
        <w:t xml:space="preserve"> </w:t>
      </w:r>
      <w:r>
        <w:rPr>
          <w:rFonts w:hint="eastAsia" w:ascii="仿宋_GB2312" w:hAnsi="仿宋" w:eastAsia="仿宋_GB2312" w:cs="仿宋"/>
          <w:sz w:val="32"/>
          <w:szCs w:val="32"/>
          <w:lang w:val="en-US" w:eastAsia="zh-CN"/>
        </w:rPr>
        <w:t>省教育厅建立高校申诉机制，受理高校对毕业论文评议结果的异议，就高校申诉事项进行复核。各高校应建立和完善学生申诉机制，妥善处理学生毕业论文申诉事项。</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第十七条</w:t>
      </w:r>
      <w:r>
        <w:rPr>
          <w:rFonts w:hint="eastAsia" w:ascii="仿宋_GB2312" w:hAnsi="仿宋" w:eastAsia="仿宋_GB2312" w:cs="仿宋"/>
          <w:sz w:val="32"/>
          <w:szCs w:val="32"/>
          <w:lang w:val="en-US" w:eastAsia="zh-CN"/>
        </w:rPr>
        <w:t xml:space="preserve"> 省教育厅保障本科毕业论文省级抽检工作经费，列入年度工作预算；各高校应将本校本科毕业论文抽检工作经费列学校年度工作预算，确保抽检工作顺利开展。</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第十八条</w:t>
      </w:r>
      <w:r>
        <w:rPr>
          <w:rFonts w:hint="eastAsia" w:ascii="仿宋_GB2312" w:hAnsi="仿宋" w:eastAsia="仿宋_GB2312" w:cs="仿宋"/>
          <w:sz w:val="32"/>
          <w:szCs w:val="32"/>
        </w:rPr>
        <w:t xml:space="preserve"> 各高校应按照</w:t>
      </w:r>
      <w:r>
        <w:rPr>
          <w:rFonts w:hint="eastAsia" w:ascii="仿宋_GB2312" w:hAnsi="仿宋" w:eastAsia="仿宋_GB2312" w:cs="仿宋"/>
          <w:sz w:val="32"/>
          <w:szCs w:val="32"/>
          <w:lang w:val="en-US" w:eastAsia="zh-CN"/>
        </w:rPr>
        <w:t>省</w:t>
      </w:r>
      <w:r>
        <w:rPr>
          <w:rFonts w:hint="eastAsia" w:ascii="仿宋_GB2312" w:hAnsi="仿宋" w:eastAsia="仿宋_GB2312" w:cs="仿宋"/>
          <w:sz w:val="32"/>
          <w:szCs w:val="32"/>
        </w:rPr>
        <w:t>教育厅的有关要求，积极配合本科毕业论文抽检工作，准确完整地提供本科毕业论文、学位授予信息等材料。</w:t>
      </w:r>
    </w:p>
    <w:p>
      <w:pPr>
        <w:keepNext w:val="0"/>
        <w:keepLines w:val="0"/>
        <w:pageBreakBefore w:val="0"/>
        <w:tabs>
          <w:tab w:val="left" w:pos="3336"/>
        </w:tabs>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ascii="黑体" w:hAnsi="黑体" w:eastAsia="黑体"/>
          <w:bCs/>
          <w:sz w:val="32"/>
          <w:szCs w:val="32"/>
        </w:rPr>
      </w:pPr>
      <w:r>
        <w:rPr>
          <w:rFonts w:hint="eastAsia" w:ascii="黑体" w:hAnsi="黑体" w:eastAsia="黑体"/>
          <w:bCs/>
          <w:sz w:val="32"/>
          <w:szCs w:val="32"/>
        </w:rPr>
        <w:t>第六章 附则</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第十九条</w:t>
      </w:r>
      <w:r>
        <w:rPr>
          <w:rFonts w:hint="eastAsia" w:ascii="仿宋_GB2312" w:hAnsi="仿宋" w:eastAsia="仿宋_GB2312" w:cs="仿宋"/>
          <w:sz w:val="32"/>
          <w:szCs w:val="32"/>
        </w:rPr>
        <w:t xml:space="preserve"> 本</w:t>
      </w:r>
      <w:r>
        <w:rPr>
          <w:rFonts w:hint="eastAsia" w:ascii="仿宋_GB2312" w:hAnsi="仿宋" w:eastAsia="仿宋_GB2312" w:cs="仿宋"/>
          <w:sz w:val="32"/>
          <w:szCs w:val="32"/>
          <w:lang w:val="en-US" w:eastAsia="zh-CN"/>
        </w:rPr>
        <w:t>实施细则</w:t>
      </w:r>
      <w:r>
        <w:rPr>
          <w:rFonts w:hint="eastAsia" w:ascii="仿宋_GB2312" w:hAnsi="仿宋" w:eastAsia="仿宋_GB2312" w:cs="仿宋"/>
          <w:sz w:val="32"/>
          <w:szCs w:val="32"/>
        </w:rPr>
        <w:t>由福建省教育厅负责解释。</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3" w:firstLineChars="200"/>
        <w:jc w:val="both"/>
        <w:textAlignment w:val="auto"/>
        <w:outlineLvl w:val="9"/>
        <w:rPr>
          <w:rFonts w:hint="eastAsia" w:ascii="仿宋_GB2312" w:hAnsi="仿宋" w:eastAsia="仿宋_GB2312" w:cs="仿宋"/>
          <w:sz w:val="32"/>
          <w:szCs w:val="32"/>
        </w:rPr>
      </w:pPr>
      <w:r>
        <w:rPr>
          <w:rFonts w:hint="eastAsia" w:ascii="楷体" w:hAnsi="楷体" w:eastAsia="楷体" w:cs="楷体"/>
          <w:b/>
          <w:bCs/>
          <w:sz w:val="32"/>
          <w:szCs w:val="32"/>
          <w:lang w:val="en-US" w:eastAsia="zh-CN"/>
        </w:rPr>
        <w:t>第二十条</w:t>
      </w:r>
      <w:r>
        <w:rPr>
          <w:rFonts w:hint="eastAsia" w:ascii="仿宋_GB2312" w:hAnsi="仿宋" w:eastAsia="仿宋_GB2312" w:cs="仿宋"/>
          <w:sz w:val="32"/>
          <w:szCs w:val="32"/>
        </w:rPr>
        <w:t xml:space="preserve"> 本</w:t>
      </w:r>
      <w:r>
        <w:rPr>
          <w:rFonts w:hint="eastAsia" w:ascii="仿宋_GB2312" w:hAnsi="仿宋" w:eastAsia="仿宋_GB2312" w:cs="仿宋"/>
          <w:sz w:val="32"/>
          <w:szCs w:val="32"/>
          <w:lang w:val="en-US" w:eastAsia="zh-CN"/>
        </w:rPr>
        <w:t>实施细则</w:t>
      </w:r>
      <w:r>
        <w:rPr>
          <w:rFonts w:hint="eastAsia" w:ascii="仿宋_GB2312" w:hAnsi="仿宋" w:eastAsia="仿宋_GB2312" w:cs="仿宋"/>
          <w:sz w:val="32"/>
          <w:szCs w:val="32"/>
        </w:rPr>
        <w:t>自</w:t>
      </w:r>
      <w:r>
        <w:rPr>
          <w:rFonts w:hint="eastAsia" w:ascii="仿宋_GB2312" w:hAnsi="仿宋" w:eastAsia="仿宋_GB2312" w:cs="仿宋"/>
          <w:sz w:val="32"/>
          <w:szCs w:val="32"/>
          <w:lang w:val="en-US" w:eastAsia="zh-CN"/>
        </w:rPr>
        <w:t>印发之日</w:t>
      </w:r>
      <w:r>
        <w:rPr>
          <w:rFonts w:hint="eastAsia" w:ascii="仿宋_GB2312" w:hAnsi="仿宋" w:eastAsia="仿宋_GB2312" w:cs="仿宋"/>
          <w:sz w:val="32"/>
          <w:szCs w:val="32"/>
        </w:rPr>
        <w:t>起施行。</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0" w:leftChars="0" w:right="0" w:rightChars="0" w:firstLine="640" w:firstLineChars="200"/>
        <w:jc w:val="both"/>
        <w:textAlignment w:val="auto"/>
        <w:outlineLvl w:val="9"/>
        <w:rPr>
          <w:rFonts w:ascii="仿宋" w:hAnsi="仿宋" w:eastAsia="仿宋" w:cs="仿宋"/>
          <w:sz w:val="32"/>
          <w:szCs w:val="32"/>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1598" w:leftChars="304" w:right="0" w:rightChars="0" w:hanging="960" w:hangingChars="300"/>
        <w:jc w:val="both"/>
        <w:textAlignment w:val="auto"/>
        <w:outlineLvl w:val="9"/>
        <w:rPr>
          <w:rFonts w:hint="eastAsia" w:ascii="仿宋_GB2312" w:hAnsi="仿宋" w:eastAsia="仿宋_GB2312" w:cs="仿宋"/>
          <w:sz w:val="32"/>
          <w:szCs w:val="32"/>
          <w:lang w:eastAsia="zh-CN"/>
        </w:rPr>
      </w:pPr>
      <w:r>
        <w:rPr>
          <w:rFonts w:hint="eastAsia" w:ascii="仿宋" w:hAnsi="仿宋" w:eastAsia="仿宋" w:cs="仿宋"/>
          <w:sz w:val="32"/>
          <w:szCs w:val="32"/>
        </w:rPr>
        <w:t>附件</w:t>
      </w:r>
      <w:r>
        <w:rPr>
          <w:rFonts w:ascii="仿宋" w:hAnsi="仿宋" w:eastAsia="仿宋" w:cs="仿宋"/>
          <w:sz w:val="32"/>
          <w:szCs w:val="32"/>
        </w:rPr>
        <w:t>：</w:t>
      </w:r>
      <w:r>
        <w:rPr>
          <w:rFonts w:hint="eastAsia" w:ascii="仿宋_GB2312" w:hAnsi="仿宋" w:eastAsia="仿宋_GB2312" w:cs="仿宋"/>
          <w:sz w:val="32"/>
          <w:szCs w:val="32"/>
        </w:rPr>
        <w:t>福建省本科毕业论文（设计）抽检评议要素</w:t>
      </w:r>
      <w:r>
        <w:rPr>
          <w:rFonts w:hint="eastAsia" w:ascii="仿宋_GB2312" w:hAnsi="仿宋" w:eastAsia="仿宋_GB2312" w:cs="仿宋"/>
          <w:sz w:val="32"/>
          <w:szCs w:val="32"/>
          <w:lang w:eastAsia="zh-CN"/>
        </w:rPr>
        <w:t>（</w:t>
      </w:r>
      <w:r>
        <w:rPr>
          <w:rFonts w:hint="eastAsia" w:ascii="仿宋_GB2312" w:hAnsi="仿宋" w:eastAsia="仿宋_GB2312" w:cs="仿宋"/>
          <w:sz w:val="32"/>
          <w:szCs w:val="32"/>
          <w:lang w:val="en-US" w:eastAsia="zh-CN"/>
        </w:rPr>
        <w:t>试行</w:t>
      </w:r>
      <w:r>
        <w:rPr>
          <w:rFonts w:hint="eastAsia" w:ascii="仿宋_GB2312" w:hAnsi="仿宋" w:eastAsia="仿宋_GB2312" w:cs="仿宋"/>
          <w:sz w:val="32"/>
          <w:szCs w:val="32"/>
          <w:lang w:eastAsia="zh-CN"/>
        </w:rPr>
        <w:t>）</w:t>
      </w: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1598" w:leftChars="304" w:right="0" w:rightChars="0" w:hanging="960" w:hangingChars="300"/>
        <w:jc w:val="both"/>
        <w:textAlignment w:val="auto"/>
        <w:outlineLvl w:val="9"/>
        <w:rPr>
          <w:rFonts w:hint="eastAsia" w:ascii="仿宋_GB2312" w:hAnsi="仿宋" w:eastAsia="仿宋_GB2312" w:cs="仿宋"/>
          <w:sz w:val="32"/>
          <w:szCs w:val="32"/>
          <w:lang w:eastAsia="zh-CN"/>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1598" w:leftChars="304" w:right="0" w:rightChars="0" w:hanging="960" w:hangingChars="300"/>
        <w:jc w:val="both"/>
        <w:textAlignment w:val="auto"/>
        <w:outlineLvl w:val="9"/>
        <w:rPr>
          <w:rFonts w:hint="eastAsia" w:ascii="仿宋_GB2312" w:hAnsi="仿宋" w:eastAsia="仿宋_GB2312" w:cs="仿宋"/>
          <w:sz w:val="32"/>
          <w:szCs w:val="32"/>
          <w:lang w:eastAsia="zh-CN"/>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1598" w:leftChars="304" w:right="0" w:rightChars="0" w:hanging="960" w:hangingChars="300"/>
        <w:jc w:val="both"/>
        <w:textAlignment w:val="auto"/>
        <w:outlineLvl w:val="9"/>
        <w:rPr>
          <w:rFonts w:hint="eastAsia" w:ascii="仿宋_GB2312" w:hAnsi="仿宋" w:eastAsia="仿宋_GB2312" w:cs="仿宋"/>
          <w:sz w:val="32"/>
          <w:szCs w:val="32"/>
          <w:lang w:eastAsia="zh-CN"/>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1598" w:leftChars="304" w:right="0" w:rightChars="0" w:hanging="960" w:hangingChars="300"/>
        <w:jc w:val="both"/>
        <w:textAlignment w:val="auto"/>
        <w:outlineLvl w:val="9"/>
        <w:rPr>
          <w:rFonts w:hint="eastAsia" w:ascii="仿宋_GB2312" w:hAnsi="仿宋" w:eastAsia="仿宋_GB2312" w:cs="仿宋"/>
          <w:sz w:val="32"/>
          <w:szCs w:val="32"/>
          <w:lang w:eastAsia="zh-CN"/>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1598" w:leftChars="304" w:right="0" w:rightChars="0" w:hanging="960" w:hangingChars="300"/>
        <w:jc w:val="both"/>
        <w:textAlignment w:val="auto"/>
        <w:outlineLvl w:val="9"/>
        <w:rPr>
          <w:rFonts w:hint="eastAsia" w:ascii="仿宋_GB2312" w:hAnsi="仿宋" w:eastAsia="仿宋_GB2312" w:cs="仿宋"/>
          <w:sz w:val="32"/>
          <w:szCs w:val="32"/>
          <w:lang w:eastAsia="zh-CN"/>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left="1598" w:leftChars="304" w:right="0" w:rightChars="0" w:hanging="960" w:hangingChars="300"/>
        <w:jc w:val="both"/>
        <w:textAlignment w:val="auto"/>
        <w:outlineLvl w:val="9"/>
        <w:rPr>
          <w:rFonts w:hint="eastAsia" w:ascii="仿宋_GB2312" w:hAnsi="仿宋" w:eastAsia="仿宋_GB2312" w:cs="仿宋"/>
          <w:sz w:val="32"/>
          <w:szCs w:val="32"/>
          <w:lang w:eastAsia="zh-CN"/>
        </w:rPr>
      </w:pPr>
    </w:p>
    <w:p>
      <w:pPr>
        <w:pStyle w:val="5"/>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580" w:lineRule="exact"/>
        <w:ind w:right="0" w:rightChars="0"/>
        <w:jc w:val="both"/>
        <w:textAlignment w:val="auto"/>
        <w:outlineLvl w:val="9"/>
        <w:rPr>
          <w:rFonts w:hint="eastAsia" w:ascii="仿宋_GB2312" w:hAnsi="仿宋" w:eastAsia="仿宋_GB2312" w:cs="仿宋"/>
          <w:sz w:val="32"/>
          <w:szCs w:val="32"/>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0"/>
        <w:jc w:val="both"/>
        <w:rPr>
          <w:rFonts w:hint="eastAsia" w:ascii="黑体" w:hAnsi="黑体" w:eastAsia="黑体" w:cs="黑体"/>
          <w:b w:val="0"/>
          <w:bCs/>
          <w:i w:val="0"/>
          <w:caps w:val="0"/>
          <w:color w:val="000000"/>
          <w:spacing w:val="0"/>
          <w:kern w:val="0"/>
          <w:sz w:val="32"/>
          <w:szCs w:val="3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0"/>
        <w:jc w:val="both"/>
        <w:rPr>
          <w:rFonts w:hint="eastAsia" w:ascii="黑体" w:hAnsi="黑体" w:eastAsia="黑体" w:cs="黑体"/>
          <w:b w:val="0"/>
          <w:bCs/>
          <w:i w:val="0"/>
          <w:caps w:val="0"/>
          <w:color w:val="000000"/>
          <w:spacing w:val="0"/>
          <w:kern w:val="0"/>
          <w:sz w:val="32"/>
          <w:szCs w:val="32"/>
          <w:lang w:val="en-US" w:eastAsia="zh-CN" w:bidi="ar"/>
        </w:rPr>
      </w:pPr>
      <w:r>
        <w:rPr>
          <w:rFonts w:hint="eastAsia" w:ascii="黑体" w:hAnsi="黑体" w:eastAsia="黑体" w:cs="黑体"/>
          <w:b w:val="0"/>
          <w:bCs/>
          <w:i w:val="0"/>
          <w:caps w:val="0"/>
          <w:color w:val="000000"/>
          <w:spacing w:val="0"/>
          <w:kern w:val="0"/>
          <w:sz w:val="32"/>
          <w:szCs w:val="32"/>
          <w:lang w:val="en-US" w:eastAsia="zh-CN" w:bidi="ar"/>
        </w:rPr>
        <w:t>附件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60" w:lineRule="atLeast"/>
        <w:ind w:left="0" w:right="0" w:firstLine="0"/>
        <w:jc w:val="center"/>
        <w:rPr>
          <w:rFonts w:hint="eastAsia" w:ascii="宋体" w:hAnsi="宋体" w:eastAsia="宋体" w:cs="宋体"/>
        </w:rPr>
      </w:pPr>
      <w:r>
        <w:rPr>
          <w:rFonts w:hint="eastAsia" w:ascii="宋体" w:hAnsi="宋体" w:eastAsia="宋体" w:cs="宋体"/>
          <w:b/>
          <w:i w:val="0"/>
          <w:caps w:val="0"/>
          <w:color w:val="000000"/>
          <w:spacing w:val="0"/>
          <w:kern w:val="0"/>
          <w:sz w:val="30"/>
          <w:szCs w:val="30"/>
          <w:lang w:val="en-US" w:eastAsia="zh-CN" w:bidi="ar"/>
        </w:rPr>
        <w:t>福建省本科毕业论文（设计）抽检评议要素（试行）</w:t>
      </w:r>
    </w:p>
    <w:tbl>
      <w:tblPr>
        <w:tblStyle w:val="6"/>
        <w:tblW w:w="8961" w:type="dxa"/>
        <w:jc w:val="right"/>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440"/>
        <w:gridCol w:w="2256"/>
        <w:gridCol w:w="526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73" w:hRule="atLeast"/>
          <w:jc w:val="right"/>
        </w:trPr>
        <w:tc>
          <w:tcPr>
            <w:tcW w:w="1440"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0"/>
                <w:sz w:val="24"/>
                <w:szCs w:val="24"/>
                <w:lang w:val="en-US" w:eastAsia="zh-CN" w:bidi="ar"/>
              </w:rPr>
              <w:t>一级指标</w:t>
            </w: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0"/>
                <w:sz w:val="24"/>
                <w:szCs w:val="24"/>
                <w:lang w:val="en-US" w:eastAsia="zh-CN" w:bidi="ar"/>
              </w:rPr>
              <w:t>二级指标</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kern w:val="0"/>
                <w:sz w:val="24"/>
                <w:szCs w:val="24"/>
                <w:lang w:val="en-US" w:eastAsia="zh-CN" w:bidi="ar"/>
              </w:rPr>
              <w:t>评议要素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99" w:hRule="atLeast"/>
          <w:jc w:val="right"/>
        </w:trPr>
        <w:tc>
          <w:tcPr>
            <w:tcW w:w="1440" w:type="dxa"/>
            <w:vMerge w:val="restart"/>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选题意义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（10）</w:t>
            </w: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选题目的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（5）</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符合专业培养目标，体现综合训练基本要求。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99" w:hRule="atLeast"/>
          <w:jc w:val="right"/>
        </w:trPr>
        <w:tc>
          <w:tcPr>
            <w:tcW w:w="1440" w:type="dxa"/>
            <w:vMerge w:val="continue"/>
            <w:tcBorders>
              <w:tl2br w:val="nil"/>
              <w:tr2bl w:val="nil"/>
            </w:tcBorders>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360" w:lineRule="exact"/>
              <w:ind w:left="0" w:leftChars="0" w:right="0" w:rightChars="0" w:firstLine="0" w:firstLineChars="0"/>
              <w:jc w:val="center"/>
              <w:textAlignment w:val="auto"/>
              <w:outlineLvl w:val="9"/>
              <w:rPr>
                <w:rFonts w:hint="eastAsia" w:ascii="仿宋_GB2312" w:hAnsi="仿宋_GB2312" w:eastAsia="仿宋_GB2312" w:cs="仿宋_GB2312"/>
                <w:b/>
                <w:bCs w:val="0"/>
                <w:sz w:val="24"/>
                <w:szCs w:val="24"/>
              </w:rPr>
            </w:pP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研究意义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（5）</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面向所在专业领域学术问题或行业社会实际问题，有一定的理论或实用价值。</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36" w:hRule="atLeast"/>
          <w:jc w:val="right"/>
        </w:trPr>
        <w:tc>
          <w:tcPr>
            <w:tcW w:w="1440" w:type="dxa"/>
            <w:vMerge w:val="restart"/>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写作安排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（15）</w:t>
            </w: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文献调研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（5）</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综合分析国内外文献，追踪本领域研究现状或行业动态，能支撑该论文（设计）的选题。</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35" w:hRule="atLeast"/>
          <w:jc w:val="right"/>
        </w:trPr>
        <w:tc>
          <w:tcPr>
            <w:tcW w:w="1440" w:type="dxa"/>
            <w:vMerge w:val="continue"/>
            <w:tcBorders>
              <w:tl2br w:val="nil"/>
              <w:tr2bl w:val="nil"/>
            </w:tcBorders>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360" w:lineRule="exact"/>
              <w:ind w:left="0" w:leftChars="0" w:right="0" w:rightChars="0" w:firstLine="0" w:firstLineChars="0"/>
              <w:jc w:val="center"/>
              <w:textAlignment w:val="auto"/>
              <w:outlineLvl w:val="9"/>
              <w:rPr>
                <w:rFonts w:hint="eastAsia" w:ascii="仿宋_GB2312" w:hAnsi="仿宋_GB2312" w:eastAsia="仿宋_GB2312" w:cs="仿宋_GB2312"/>
                <w:b/>
                <w:bCs w:val="0"/>
                <w:sz w:val="24"/>
                <w:szCs w:val="24"/>
              </w:rPr>
            </w:pP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进度安排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（10）</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时间进度安排合理，工作量饱满，写作形式符合专业特点和选题需要。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78" w:hRule="atLeast"/>
          <w:jc w:val="right"/>
        </w:trPr>
        <w:tc>
          <w:tcPr>
            <w:tcW w:w="1440" w:type="dxa"/>
            <w:vMerge w:val="restart"/>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逻辑构建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（20）</w:t>
            </w: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层次体系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（10）</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体系完整，层次分明，重点突出。</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478" w:hRule="atLeast"/>
          <w:jc w:val="right"/>
        </w:trPr>
        <w:tc>
          <w:tcPr>
            <w:tcW w:w="1440" w:type="dxa"/>
            <w:vMerge w:val="continue"/>
            <w:tcBorders>
              <w:tl2br w:val="nil"/>
              <w:tr2bl w:val="nil"/>
            </w:tcBorders>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360" w:lineRule="exact"/>
              <w:ind w:left="0" w:leftChars="0" w:right="0" w:rightChars="0" w:firstLine="0" w:firstLineChars="0"/>
              <w:jc w:val="center"/>
              <w:textAlignment w:val="auto"/>
              <w:outlineLvl w:val="9"/>
              <w:rPr>
                <w:rFonts w:hint="eastAsia" w:ascii="仿宋_GB2312" w:hAnsi="仿宋_GB2312" w:eastAsia="仿宋_GB2312" w:cs="仿宋_GB2312"/>
                <w:b/>
                <w:bCs w:val="0"/>
                <w:sz w:val="24"/>
                <w:szCs w:val="24"/>
              </w:rPr>
            </w:pP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逻辑结构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（10）</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论点鲜明，论据确凿，论证充分，达到所在专业领域要求。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99" w:hRule="atLeast"/>
          <w:jc w:val="right"/>
        </w:trPr>
        <w:tc>
          <w:tcPr>
            <w:tcW w:w="1440" w:type="dxa"/>
            <w:vMerge w:val="restart"/>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专业能力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（35）</w:t>
            </w: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综合应用知识能力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（10）</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将相关领域的基础理论、专业知识合理应用到研究过程，能体现所在专业领域的能力和素养。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99" w:hRule="atLeast"/>
          <w:jc w:val="right"/>
        </w:trPr>
        <w:tc>
          <w:tcPr>
            <w:tcW w:w="1440" w:type="dxa"/>
            <w:vMerge w:val="continue"/>
            <w:tcBorders>
              <w:tl2br w:val="nil"/>
              <w:tr2bl w:val="nil"/>
            </w:tcBorders>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360" w:lineRule="exact"/>
              <w:ind w:left="0" w:leftChars="0" w:right="0" w:rightChars="0" w:firstLine="0" w:firstLineChars="0"/>
              <w:jc w:val="center"/>
              <w:textAlignment w:val="auto"/>
              <w:outlineLvl w:val="9"/>
              <w:rPr>
                <w:rFonts w:hint="eastAsia" w:ascii="仿宋_GB2312" w:hAnsi="仿宋_GB2312" w:eastAsia="仿宋_GB2312" w:cs="仿宋_GB2312"/>
                <w:b/>
                <w:bCs w:val="0"/>
                <w:sz w:val="24"/>
                <w:szCs w:val="24"/>
              </w:rPr>
            </w:pP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分析解决问题能力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（15）</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研究方法合理，论证分析严谨，数据记录规范，能体现一定的分析解决本专业领域问题的能力和素养。</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599" w:hRule="atLeast"/>
          <w:jc w:val="right"/>
        </w:trPr>
        <w:tc>
          <w:tcPr>
            <w:tcW w:w="1440" w:type="dxa"/>
            <w:vMerge w:val="continue"/>
            <w:tcBorders>
              <w:tl2br w:val="nil"/>
              <w:tr2bl w:val="nil"/>
            </w:tcBorders>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360" w:lineRule="exact"/>
              <w:ind w:left="0" w:leftChars="0" w:right="0" w:rightChars="0" w:firstLine="0" w:firstLineChars="0"/>
              <w:jc w:val="center"/>
              <w:textAlignment w:val="auto"/>
              <w:outlineLvl w:val="9"/>
              <w:rPr>
                <w:rFonts w:hint="eastAsia" w:ascii="仿宋_GB2312" w:hAnsi="仿宋_GB2312" w:eastAsia="仿宋_GB2312" w:cs="仿宋_GB2312"/>
                <w:b/>
                <w:bCs w:val="0"/>
                <w:sz w:val="24"/>
                <w:szCs w:val="24"/>
              </w:rPr>
            </w:pP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创新能力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（10）</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阐明了新观点，或将经典理论创新性应用，或阐释了对实践的指导意义。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80" w:hRule="atLeast"/>
          <w:jc w:val="right"/>
        </w:trPr>
        <w:tc>
          <w:tcPr>
            <w:tcW w:w="1440" w:type="dxa"/>
            <w:vMerge w:val="restart"/>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学术规范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b/>
                <w:bCs w:val="0"/>
              </w:rPr>
            </w:pPr>
            <w:r>
              <w:rPr>
                <w:rFonts w:hint="eastAsia" w:ascii="仿宋_GB2312" w:hAnsi="仿宋_GB2312" w:eastAsia="仿宋_GB2312" w:cs="仿宋_GB2312"/>
                <w:b/>
                <w:bCs w:val="0"/>
                <w:kern w:val="0"/>
                <w:sz w:val="24"/>
                <w:szCs w:val="24"/>
                <w:lang w:val="en-US" w:eastAsia="zh-CN" w:bidi="ar"/>
              </w:rPr>
              <w:t>（20）</w:t>
            </w: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行文规范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（10）</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文字表达、书写格式、图表（图纸）、公式符号、缩略词等方面符合通行学术规范。</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trHeight w:val="380" w:hRule="atLeast"/>
          <w:jc w:val="right"/>
        </w:trPr>
        <w:tc>
          <w:tcPr>
            <w:tcW w:w="1440" w:type="dxa"/>
            <w:vMerge w:val="continue"/>
            <w:tcBorders>
              <w:tl2br w:val="nil"/>
              <w:tr2bl w:val="nil"/>
            </w:tcBorders>
            <w:tcMar>
              <w:left w:w="108" w:type="dxa"/>
              <w:right w:w="108" w:type="dxa"/>
            </w:tcMar>
            <w:vAlign w:val="center"/>
          </w:tcPr>
          <w:p>
            <w:pPr>
              <w:keepNext w:val="0"/>
              <w:keepLines w:val="0"/>
              <w:pageBreakBefore w:val="0"/>
              <w:widowControl/>
              <w:kinsoku/>
              <w:wordWrap/>
              <w:overflowPunct/>
              <w:topLinePunct w:val="0"/>
              <w:autoSpaceDE/>
              <w:autoSpaceDN/>
              <w:bidi w:val="0"/>
              <w:adjustRightInd/>
              <w:snapToGrid/>
              <w:spacing w:before="0" w:beforeLines="0" w:after="0" w:afterLines="0" w:line="360" w:lineRule="exact"/>
              <w:ind w:left="0" w:leftChars="0" w:right="0" w:rightChars="0" w:firstLine="0" w:firstLineChars="0"/>
              <w:jc w:val="center"/>
              <w:textAlignment w:val="auto"/>
              <w:outlineLvl w:val="9"/>
              <w:rPr>
                <w:rFonts w:hint="eastAsia" w:ascii="宋体"/>
                <w:sz w:val="24"/>
                <w:szCs w:val="24"/>
              </w:rPr>
            </w:pPr>
          </w:p>
        </w:tc>
        <w:tc>
          <w:tcPr>
            <w:tcW w:w="2256"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引用规范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center"/>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（10）</w:t>
            </w:r>
          </w:p>
        </w:tc>
        <w:tc>
          <w:tcPr>
            <w:tcW w:w="5265" w:type="dxa"/>
            <w:tcBorders>
              <w:tl2br w:val="nil"/>
              <w:tr2bl w:val="nil"/>
            </w:tcBorders>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exact"/>
              <w:ind w:left="0" w:leftChars="0" w:right="0" w:rightChars="0" w:firstLine="0" w:firstLineChars="0"/>
              <w:jc w:val="left"/>
              <w:textAlignment w:val="auto"/>
              <w:outlineLvl w:val="9"/>
              <w:rPr>
                <w:rFonts w:hint="eastAsia" w:ascii="仿宋_GB2312" w:hAnsi="仿宋_GB2312" w:eastAsia="仿宋_GB2312" w:cs="仿宋_GB2312"/>
                <w:sz w:val="24"/>
                <w:szCs w:val="24"/>
              </w:rPr>
            </w:pPr>
            <w:r>
              <w:rPr>
                <w:rFonts w:hint="eastAsia" w:ascii="仿宋_GB2312" w:hAnsi="仿宋_GB2312" w:eastAsia="仿宋_GB2312" w:cs="仿宋_GB2312"/>
                <w:kern w:val="0"/>
                <w:sz w:val="24"/>
                <w:szCs w:val="24"/>
                <w:lang w:val="en-US" w:eastAsia="zh-CN" w:bidi="ar"/>
              </w:rPr>
              <w:t>在资料引证、参考文献等方面符合通行学术规范和知识产权相关规定。</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0" w:rightChars="0"/>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i w:val="0"/>
          <w:caps w:val="0"/>
          <w:color w:val="000000"/>
          <w:spacing w:val="0"/>
          <w:kern w:val="0"/>
          <w:sz w:val="24"/>
          <w:szCs w:val="24"/>
          <w:lang w:val="en-US" w:eastAsia="zh-CN" w:bidi="ar"/>
        </w:rPr>
        <w:t>否决性指标：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0" w:rightChars="0" w:firstLine="575"/>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i w:val="0"/>
          <w:caps w:val="0"/>
          <w:color w:val="000000"/>
          <w:spacing w:val="0"/>
          <w:kern w:val="0"/>
          <w:sz w:val="24"/>
          <w:szCs w:val="24"/>
          <w:lang w:val="en-US" w:eastAsia="zh-CN" w:bidi="ar"/>
        </w:rPr>
        <w:t>如出现以下两个问题中的任意一个，则该毕业论文（设计）直接评议为“存在问题论文（设计）”。</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0" w:rightChars="0" w:firstLine="577"/>
        <w:jc w:val="left"/>
        <w:textAlignment w:val="auto"/>
        <w:outlineLvl w:val="9"/>
        <w:rPr>
          <w:rFonts w:hint="eastAsia" w:ascii="仿宋_GB2312" w:hAnsi="仿宋_GB2312" w:eastAsia="仿宋_GB2312" w:cs="仿宋_GB2312"/>
        </w:rPr>
      </w:pPr>
      <w:r>
        <w:rPr>
          <w:rFonts w:hint="eastAsia" w:ascii="仿宋_GB2312" w:hAnsi="仿宋_GB2312" w:eastAsia="仿宋_GB2312" w:cs="仿宋_GB2312"/>
          <w:b/>
          <w:i w:val="0"/>
          <w:caps w:val="0"/>
          <w:color w:val="000000"/>
          <w:spacing w:val="0"/>
          <w:kern w:val="0"/>
          <w:sz w:val="24"/>
          <w:szCs w:val="24"/>
          <w:lang w:val="en-US" w:eastAsia="zh-CN" w:bidi="ar"/>
        </w:rPr>
        <w:t>1.政治方向：</w:t>
      </w:r>
      <w:r>
        <w:rPr>
          <w:rFonts w:hint="eastAsia" w:ascii="仿宋_GB2312" w:hAnsi="仿宋_GB2312" w:eastAsia="仿宋_GB2312" w:cs="仿宋_GB2312"/>
          <w:i w:val="0"/>
          <w:caps w:val="0"/>
          <w:color w:val="000000"/>
          <w:spacing w:val="0"/>
          <w:kern w:val="0"/>
          <w:sz w:val="24"/>
          <w:szCs w:val="24"/>
          <w:lang w:val="en-US" w:eastAsia="zh-CN" w:bidi="ar"/>
        </w:rPr>
        <w:t>有违背党和国家相关政策方针、法律法规，或违背社会主义核心价值观、立德树人要求，或其它违背社会公序良俗的内容。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400" w:lineRule="exact"/>
        <w:ind w:left="0" w:leftChars="0" w:right="0" w:rightChars="0" w:firstLine="577"/>
        <w:jc w:val="left"/>
        <w:textAlignment w:val="auto"/>
        <w:outlineLvl w:val="9"/>
      </w:pPr>
      <w:r>
        <w:rPr>
          <w:rFonts w:hint="eastAsia" w:ascii="仿宋_GB2312" w:hAnsi="仿宋_GB2312" w:eastAsia="仿宋_GB2312" w:cs="仿宋_GB2312"/>
          <w:b/>
          <w:i w:val="0"/>
          <w:caps w:val="0"/>
          <w:color w:val="000000"/>
          <w:spacing w:val="0"/>
          <w:kern w:val="0"/>
          <w:sz w:val="24"/>
          <w:szCs w:val="24"/>
          <w:lang w:val="en-US" w:eastAsia="zh-CN" w:bidi="ar"/>
        </w:rPr>
        <w:t>2.学术诚信：</w:t>
      </w:r>
      <w:r>
        <w:rPr>
          <w:rFonts w:hint="eastAsia" w:ascii="仿宋_GB2312" w:hAnsi="仿宋_GB2312" w:eastAsia="仿宋_GB2312" w:cs="仿宋_GB2312"/>
          <w:i w:val="0"/>
          <w:caps w:val="0"/>
          <w:color w:val="000000"/>
          <w:spacing w:val="0"/>
          <w:kern w:val="0"/>
          <w:sz w:val="24"/>
          <w:szCs w:val="24"/>
          <w:lang w:val="en-US" w:eastAsia="zh-CN" w:bidi="ar"/>
        </w:rPr>
        <w:t>出现抄袭、剽窃、伪造、篡改、买卖、代写等学术不端行为。</w:t>
      </w:r>
    </w:p>
    <w:sectPr>
      <w:footerReference r:id="rId3" w:type="default"/>
      <w:pgSz w:w="11906" w:h="16838"/>
      <w:pgMar w:top="2098" w:right="1474" w:bottom="1984" w:left="1587"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47F4F"/>
    <w:rsid w:val="066C5FCF"/>
    <w:rsid w:val="092E6ECC"/>
    <w:rsid w:val="0BE956AC"/>
    <w:rsid w:val="44D81F84"/>
    <w:rsid w:val="50A47F4F"/>
    <w:rsid w:val="578005CE"/>
    <w:rsid w:val="5FF51F4C"/>
    <w:rsid w:val="66946E0E"/>
    <w:rsid w:val="729A7F70"/>
    <w:rsid w:val="7818080D"/>
    <w:rsid w:val="7D37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afterLines="0" w:afterAutospacing="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2021-10-09T02:01:00Z</dcterms:created>
  <dc:creator>朱力义</dc:creator>
  <cp:lastModifiedBy>翁惠玲</cp:lastModifiedBy>
  <cp:lastPrinted>2021-10-09T02:38:00Z</cp:lastPrinted>
  <dcterms:modified xsi:type="dcterms:W3CDTF">2021-10-11T01:44:54Z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7C2659A4071744309E4FC53DC611D4B9</vt:lpwstr>
  </property>
</Properties>
</file>