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360" w:lineRule="auto"/>
        <w:jc w:val="left"/>
        <w:rPr>
          <w:rFonts w:ascii="黑体" w:hAnsi="黑体" w:eastAsia="黑体" w:cs="黑体"/>
          <w:kern w:val="0"/>
          <w:sz w:val="32"/>
          <w:szCs w:val="32"/>
        </w:rPr>
      </w:pPr>
      <w:r>
        <w:rPr>
          <w:rFonts w:hint="eastAsia" w:ascii="黑体" w:hAnsi="黑体" w:eastAsia="黑体" w:cs="黑体"/>
          <w:kern w:val="0"/>
          <w:sz w:val="32"/>
          <w:szCs w:val="32"/>
        </w:rPr>
        <w:t>附件1</w:t>
      </w:r>
    </w:p>
    <w:p>
      <w:pPr>
        <w:widowControl/>
        <w:adjustRightInd w:val="0"/>
        <w:snapToGrid w:val="0"/>
        <w:spacing w:line="360" w:lineRule="auto"/>
        <w:jc w:val="left"/>
        <w:rPr>
          <w:rFonts w:ascii="黑体" w:hAnsi="黑体" w:eastAsia="黑体" w:cs="黑体"/>
          <w:kern w:val="0"/>
          <w:sz w:val="32"/>
          <w:szCs w:val="32"/>
        </w:rPr>
      </w:pPr>
    </w:p>
    <w:p>
      <w:pPr>
        <w:widowControl/>
        <w:adjustRightInd w:val="0"/>
        <w:snapToGrid w:val="0"/>
        <w:spacing w:line="360" w:lineRule="auto"/>
        <w:jc w:val="center"/>
        <w:rPr>
          <w:rFonts w:ascii="Calibri" w:hAnsi="Calibri" w:eastAsia="宋体" w:cs="Times New Roman"/>
          <w:b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44"/>
          <w:szCs w:val="44"/>
          <w:lang w:bidi="ar"/>
        </w:rPr>
        <w:t>福州大学第</w:t>
      </w:r>
      <w:r>
        <w:rPr>
          <w:rFonts w:hint="eastAsia" w:ascii="宋体" w:hAnsi="宋体" w:eastAsia="宋体" w:cs="宋体"/>
          <w:b/>
          <w:bCs/>
          <w:kern w:val="0"/>
          <w:sz w:val="44"/>
          <w:szCs w:val="44"/>
          <w:lang w:eastAsia="zh-CN" w:bidi="ar"/>
        </w:rPr>
        <w:t>八</w:t>
      </w:r>
      <w:r>
        <w:rPr>
          <w:rFonts w:hint="eastAsia" w:ascii="宋体" w:hAnsi="宋体" w:eastAsia="宋体" w:cs="宋体"/>
          <w:b/>
          <w:bCs/>
          <w:kern w:val="0"/>
          <w:sz w:val="44"/>
          <w:szCs w:val="44"/>
          <w:lang w:bidi="ar"/>
        </w:rPr>
        <w:t>届远志创业实验班招生简章</w:t>
      </w:r>
    </w:p>
    <w:p>
      <w:pPr>
        <w:widowControl/>
        <w:snapToGrid w:val="0"/>
        <w:spacing w:line="360" w:lineRule="auto"/>
        <w:jc w:val="left"/>
        <w:rPr>
          <w:rFonts w:ascii="Calibri" w:hAnsi="Calibri" w:eastAsia="宋体" w:cs="Times New Roman"/>
          <w:szCs w:val="24"/>
        </w:rPr>
      </w:pP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hint="eastAsia" w:ascii="仿宋" w:hAnsi="仿宋" w:eastAsia="仿宋" w:cs="黑体"/>
          <w:spacing w:val="-6"/>
          <w:kern w:val="0"/>
          <w:sz w:val="32"/>
          <w:szCs w:val="32"/>
          <w:lang w:bidi="ar"/>
        </w:rPr>
        <w:t>一、培养目标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通过开设系统的创新创业课程，进行专门的创新创业训练，使大学生系统掌握创新创业所必需的基本理论知识和技能，塑造勇于拼搏、</w:t>
      </w:r>
      <w:r>
        <w:rPr>
          <w:rFonts w:hint="eastAsia" w:ascii="仿宋" w:hAnsi="仿宋" w:eastAsia="仿宋" w:cs="宋体"/>
          <w:spacing w:val="-6"/>
          <w:kern w:val="0"/>
          <w:sz w:val="32"/>
          <w:szCs w:val="32"/>
          <w:lang w:bidi="ar"/>
        </w:rPr>
        <w:t>坚韧不拔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的心理品质，培养能够适应当前国家战略转型与区域经济发展需要，有使命感和责任意识，具备较强创新思维、创业精神和创新创业能力的复合型卓越人才。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hint="eastAsia" w:ascii="仿宋" w:hAnsi="仿宋" w:eastAsia="仿宋" w:cs="黑体"/>
          <w:spacing w:val="-6"/>
          <w:kern w:val="0"/>
          <w:sz w:val="32"/>
          <w:szCs w:val="32"/>
          <w:lang w:bidi="ar"/>
        </w:rPr>
        <w:t>二、培养模式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不打破原有学科专业的班级建制，以辅修专业的形式对学生进</w:t>
      </w:r>
      <w:r>
        <w:rPr>
          <w:rFonts w:ascii="仿宋" w:hAnsi="仿宋" w:eastAsia="仿宋" w:cs="宋体"/>
          <w:spacing w:val="-4"/>
          <w:kern w:val="0"/>
          <w:sz w:val="32"/>
          <w:szCs w:val="32"/>
          <w:lang w:bidi="ar"/>
        </w:rPr>
        <w:t>行培养，学生同时隶属原所在学院和创业学院的双重管理。采取“小规模、精英化、立足专业、交叉复合”的培养原则，通过开展系统全面、针对性强的创新创业教育，为有志于创业的青年学生提供“理论学习+实践训练+项目体验+项目孵化”四位一体的综合性培养平台。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hint="eastAsia" w:ascii="仿宋" w:hAnsi="仿宋" w:eastAsia="仿宋" w:cs="黑体"/>
          <w:spacing w:val="-6"/>
          <w:kern w:val="0"/>
          <w:sz w:val="32"/>
          <w:szCs w:val="32"/>
          <w:lang w:bidi="ar"/>
        </w:rPr>
        <w:t>三、修业年限和证书</w:t>
      </w:r>
    </w:p>
    <w:p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宋体"/>
          <w:b/>
          <w:spacing w:val="-6"/>
          <w:kern w:val="0"/>
          <w:sz w:val="32"/>
          <w:szCs w:val="32"/>
          <w:lang w:bidi="ar"/>
        </w:rPr>
        <w:t>1.</w:t>
      </w:r>
      <w:r>
        <w:rPr>
          <w:rFonts w:hint="eastAsia" w:ascii="仿宋" w:hAnsi="仿宋" w:eastAsia="仿宋" w:cs="宋体"/>
          <w:b/>
          <w:spacing w:val="-6"/>
          <w:kern w:val="0"/>
          <w:sz w:val="32"/>
          <w:szCs w:val="32"/>
          <w:lang w:bidi="ar"/>
        </w:rPr>
        <w:t>修业年限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：</w:t>
      </w: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在第一专业学制年限内完成辅修学业。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8" w:lineRule="atLeast"/>
        <w:ind w:left="0" w:leftChars="0" w:right="0" w:firstLine="640" w:firstLineChars="207"/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宋体"/>
          <w:b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2.授予</w:t>
      </w:r>
      <w:r>
        <w:rPr>
          <w:rFonts w:hint="eastAsia" w:ascii="仿宋" w:hAnsi="仿宋" w:eastAsia="仿宋" w:cs="宋体"/>
          <w:b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证书</w:t>
      </w: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：</w:t>
      </w: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辅修专业属跨学科门类者</w:t>
      </w:r>
      <w:r>
        <w:rPr>
          <w:rFonts w:hint="eastAsia" w:ascii="仿宋" w:hAnsi="仿宋" w:eastAsia="仿宋" w:cs="宋体"/>
          <w:color w:val="000000" w:themeColor="text1"/>
          <w:spacing w:val="-6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经校学位委员会审核通过后</w:t>
      </w: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授予管理学学士辅修学位（已获得主修专业学士学位证书，</w:t>
      </w:r>
      <w:r>
        <w:rPr>
          <w:rFonts w:hint="eastAsia" w:ascii="仿宋" w:hAnsi="仿宋" w:eastAsia="仿宋" w:cs="宋体"/>
          <w:color w:val="000000" w:themeColor="text1"/>
          <w:spacing w:val="-6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并</w:t>
      </w: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完成“创业项目综合实践毕业设计”，获得本实验班培养方案规定的全部学分；辅修专业学士学位在主修专业学士学位证书中予以注明，不单独发放学位证书）；辅修专业不属于跨学科门类者，</w:t>
      </w:r>
      <w:r>
        <w:rPr>
          <w:rFonts w:hint="eastAsia" w:ascii="仿宋" w:hAnsi="仿宋" w:eastAsia="仿宋" w:cs="宋体"/>
          <w:color w:val="000000" w:themeColor="text1"/>
          <w:spacing w:val="-6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在</w:t>
      </w: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获得本实验班培养方案规定的全部学分，</w:t>
      </w:r>
      <w:r>
        <w:rPr>
          <w:rFonts w:hint="eastAsia" w:ascii="仿宋" w:hAnsi="仿宋" w:eastAsia="仿宋" w:cs="宋体"/>
          <w:color w:val="000000" w:themeColor="text1"/>
          <w:spacing w:val="-6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并</w:t>
      </w: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完成“创业项目综合实践毕业设计”</w:t>
      </w:r>
      <w:r>
        <w:rPr>
          <w:rFonts w:hint="eastAsia" w:ascii="仿宋" w:hAnsi="仿宋" w:eastAsia="仿宋" w:cs="宋体"/>
          <w:color w:val="000000" w:themeColor="text1"/>
          <w:spacing w:val="-6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后，由学校发给</w:t>
      </w: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工商管理专业辅修专业证书；未修满本实验班培养方案规定的全部学分，但已获得辅修专业学分达到25学分，由学校发给辅修课程证明（微专业证书）。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hint="eastAsia" w:ascii="仿宋" w:hAnsi="仿宋" w:eastAsia="仿宋" w:cs="黑体"/>
          <w:spacing w:val="-6"/>
          <w:kern w:val="0"/>
          <w:sz w:val="32"/>
          <w:szCs w:val="32"/>
          <w:lang w:bidi="ar"/>
        </w:rPr>
        <w:t>四、培养措施及特色</w:t>
      </w:r>
    </w:p>
    <w:p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b/>
          <w:spacing w:val="-6"/>
          <w:kern w:val="0"/>
          <w:sz w:val="32"/>
          <w:szCs w:val="32"/>
          <w:lang w:bidi="ar"/>
        </w:rPr>
        <w:t>1.构建创新创业“理论学习+实践训练+项目体验+项目孵化”四位一体的培养体系</w:t>
      </w:r>
    </w:p>
    <w:p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b/>
          <w:spacing w:val="-6"/>
          <w:kern w:val="0"/>
          <w:sz w:val="32"/>
          <w:szCs w:val="32"/>
          <w:lang w:bidi="ar"/>
        </w:rPr>
        <w:t>创新创业理论学习：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包括精神层、知识层和技能层三个层面，涵盖创新创业活动过程所需的思维、知识、技能和品质等方面的内容；</w:t>
      </w:r>
    </w:p>
    <w:p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b/>
          <w:spacing w:val="-6"/>
          <w:kern w:val="0"/>
          <w:sz w:val="32"/>
          <w:szCs w:val="32"/>
          <w:lang w:bidi="ar"/>
        </w:rPr>
        <w:t>创新创业实践训练：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依托福州大学国家大学科技园、福州大学三千创客空间、大学生创新创业素质拓展基地、专业创新创业实验室等校内创新创业孵化基地，以及国家、省级实验教学示范中心、重点实验室、校外实习基地等平台进行的创新创业实践训练；</w:t>
      </w:r>
    </w:p>
    <w:p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b/>
          <w:spacing w:val="-6"/>
          <w:kern w:val="0"/>
          <w:sz w:val="32"/>
          <w:szCs w:val="32"/>
          <w:lang w:bidi="ar"/>
        </w:rPr>
        <w:t>创业项目体验：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包括各种创新创业竞赛、</w:t>
      </w:r>
      <w:r>
        <w:rPr>
          <w:rFonts w:ascii="仿宋" w:hAnsi="仿宋" w:eastAsia="仿宋" w:cs="Tahoma"/>
          <w:spacing w:val="-6"/>
          <w:kern w:val="0"/>
          <w:sz w:val="32"/>
          <w:szCs w:val="32"/>
          <w:lang w:bidi="ar"/>
        </w:rPr>
        <w:t>创业讲座、创业沙龙、企业老总面对面、</w:t>
      </w:r>
      <w:r>
        <w:rPr>
          <w:rFonts w:ascii="仿宋" w:hAnsi="仿宋" w:eastAsia="仿宋" w:cs="黑体"/>
          <w:spacing w:val="-6"/>
          <w:kern w:val="0"/>
          <w:sz w:val="32"/>
          <w:szCs w:val="32"/>
          <w:lang w:bidi="ar"/>
        </w:rPr>
        <w:t>创业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团队路演等第二课堂活动；</w:t>
      </w:r>
    </w:p>
    <w:p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b/>
          <w:spacing w:val="-6"/>
          <w:kern w:val="0"/>
          <w:sz w:val="32"/>
          <w:szCs w:val="32"/>
          <w:lang w:bidi="ar"/>
        </w:rPr>
        <w:t>创业项目孵化：</w:t>
      </w:r>
      <w:r>
        <w:rPr>
          <w:rFonts w:ascii="仿宋" w:hAnsi="仿宋" w:eastAsia="仿宋" w:cs="宋体"/>
          <w:bCs/>
          <w:spacing w:val="-6"/>
          <w:kern w:val="0"/>
          <w:sz w:val="32"/>
          <w:szCs w:val="32"/>
          <w:lang w:bidi="ar"/>
        </w:rPr>
        <w:t>针对优秀创业项目，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学校给予这些项目一定数额的创业资金扶持，并邀请企业、行业协会、群团组织、创投机构、天使投资人与创业项目进行对接、洽谈和投资，促进学生创业项目落地转化。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通过四位一体的综合性培养平台，激发学生创新创业灵感，培养创新创业思维，健全创新创业人格，提升创新创业能力，引导学生未来创业行动并助推学生创业成功。</w:t>
      </w:r>
    </w:p>
    <w:p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b/>
          <w:spacing w:val="-6"/>
          <w:kern w:val="0"/>
          <w:sz w:val="32"/>
          <w:szCs w:val="32"/>
          <w:lang w:bidi="ar"/>
        </w:rPr>
        <w:t>2.实施项目带动的培养过程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以</w:t>
      </w:r>
      <w:r>
        <w:rPr>
          <w:rFonts w:ascii="仿宋" w:hAnsi="仿宋" w:eastAsia="仿宋" w:cs="宋体"/>
          <w:spacing w:val="-4"/>
          <w:kern w:val="0"/>
          <w:sz w:val="32"/>
          <w:szCs w:val="32"/>
          <w:lang w:bidi="ar"/>
        </w:rPr>
        <w:t>项目带动的形式实施培养，鼓励学生结合所学专业选择创业方向，将商业计划书的撰写、完善、参赛与创业实战贯穿培养全过程。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（1）辅修第一学期，学生便按5-6人一组组成不同专业背景的项目团队。学校为每组学生配备1位创业导师和1位专业导师，在创业导师团队（创业导师与专业导师）的共同指导下，学生初步选择1个创业方向（行业或领域），收集相关资料，为初步设计商业计划做准备。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（2）辅修第二学期，每组完成初步的商业计划，并由创业导师团队组成的评审团组织开题答辩。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（3）辅修第三至第四学期，学生在课程学习、企业调研和丰富的第二课堂活动过程中，从不同视角，在创业导师团队的指导下对商业计划书进行研讨和完善。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（4）每组依据商业计划开展相应的创业活动，在期末对创业成果进行汇报，由创业导师团队组成的评审团组织答辩。对于答辩优秀的项目，学校将帮助邀请创投机构与创业项目进行对接，争取创业投资，同时在同等条件下优先入驻国家大学生科技园众创空间，进入真正的创业实践。</w:t>
      </w:r>
    </w:p>
    <w:p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b/>
          <w:spacing w:val="-6"/>
          <w:kern w:val="0"/>
          <w:sz w:val="32"/>
          <w:szCs w:val="32"/>
          <w:lang w:bidi="ar"/>
        </w:rPr>
        <w:t>3.凸显课程的实战性和素质拓展要求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一是在整个培养环节设计中，突出创新创业实践训练学分比重，实践环节学分占总学分的</w:t>
      </w:r>
      <w:r>
        <w:rPr>
          <w:rFonts w:ascii="仿宋" w:hAnsi="仿宋" w:eastAsia="仿宋" w:cs="宋体"/>
          <w:b/>
          <w:spacing w:val="-6"/>
          <w:kern w:val="0"/>
          <w:sz w:val="32"/>
          <w:szCs w:val="32"/>
          <w:lang w:bidi="ar"/>
        </w:rPr>
        <w:t>50%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；二是充分挖掘每门课的实践元素，依托校内外各种创新创业资源平台，以项目体验、创意设计、市场调研等方式对学生开展各种创新创业实践训练；三是开展丰富多彩的第二课堂活动，开阔学生视野，拓展学生素质。</w:t>
      </w:r>
    </w:p>
    <w:p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b/>
          <w:spacing w:val="-6"/>
          <w:kern w:val="0"/>
          <w:sz w:val="32"/>
          <w:szCs w:val="32"/>
          <w:lang w:bidi="ar"/>
        </w:rPr>
        <w:t>4.创新教学模式和考核评价机制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强调以学生为中心，采用灵活多样的教学技巧与能力导向的教学方式，如分享式、互动式、启发式、模拟式、体验式等，大量采用案例教学和情境教学，增强知识的直观性、形象性和立体感，提高学生的课堂参与性。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鼓励教师充分利用现代网络信息技术的优势，利用已有的优质MOOC课资源或自主开发MOOC课与微课，探索线上线下相结合的翻转课堂教学模式。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 xml:space="preserve">突出考核学生创新创业意识、批判性思维能力、团队协作能力和沟通交流能力，采用项目考核、汇报答辩等灵活多样的考核方式。过程性与终结性相结合，将考核贯穿学生学习的全过程，结合理论课成绩、企业实习报告、参与创业竞赛的情况、毕业答辩、创业导师评价等进行结构化综合评定。 </w:t>
      </w:r>
    </w:p>
    <w:p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b/>
          <w:spacing w:val="-6"/>
          <w:kern w:val="0"/>
          <w:sz w:val="32"/>
          <w:szCs w:val="32"/>
          <w:lang w:bidi="ar"/>
        </w:rPr>
        <w:t>5.打造校内外结合的创业导师团队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在校内遴选学术水平较高、教学经验丰富的教师担任实验班的专业导师，对学生的课业修习、实践训练和精神品质塑造进行有效指导；聘请各行业有研究和实践创新能力的企业中、高级职业经理人担任实验班的创业导师，对学生的创业思路、商业计划和具体实践活动进行有针对性的指导；聘请校内外经济管理专家、工程技术专家、政府经济部门专家、成功校友、企业家、风险投资家、职业生涯发展研究专家等组成创业顾问团，定期开展咨询和访谈，为学生成长成才答疑解惑。</w:t>
      </w:r>
    </w:p>
    <w:p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b/>
          <w:spacing w:val="-6"/>
          <w:kern w:val="0"/>
          <w:sz w:val="32"/>
          <w:szCs w:val="32"/>
          <w:lang w:bidi="ar"/>
        </w:rPr>
        <w:t>6.实施专门优惠政策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Calibri" w:hAnsi="Calibri" w:eastAsia="宋体" w:cs="Times New Roman"/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完整修完本实验班规定学分的学生，其主修专业的</w:t>
      </w:r>
      <w:r>
        <w:rPr>
          <w:rFonts w:ascii="仿宋" w:hAnsi="仿宋" w:eastAsia="仿宋" w:cs="宋体"/>
          <w:b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全校性选修课学分可全部免修</w:t>
      </w: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。</w:t>
      </w:r>
      <w:r>
        <w:rPr>
          <w:rFonts w:ascii="仿宋" w:hAnsi="仿宋" w:eastAsia="仿宋" w:cs="宋体"/>
          <w:b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实验班单独组班上课</w:t>
      </w: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，一般安排在</w:t>
      </w:r>
      <w:r>
        <w:rPr>
          <w:rFonts w:hint="eastAsia" w:ascii="仿宋" w:hAnsi="仿宋" w:eastAsia="仿宋" w:cs="宋体"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工作日晚上、</w:t>
      </w: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周四下午或双休日。</w:t>
      </w:r>
    </w:p>
    <w:p>
      <w:pPr>
        <w:widowControl/>
        <w:spacing w:line="540" w:lineRule="atLeast"/>
        <w:ind w:firstLine="616" w:firstLineChars="200"/>
        <w:jc w:val="left"/>
        <w:rPr>
          <w:rFonts w:ascii="仿宋" w:hAnsi="仿宋" w:eastAsia="仿宋" w:cs="黑体"/>
          <w:spacing w:val="-6"/>
          <w:kern w:val="0"/>
          <w:sz w:val="32"/>
          <w:szCs w:val="32"/>
          <w:lang w:bidi="ar"/>
        </w:rPr>
      </w:pPr>
      <w:r>
        <w:rPr>
          <w:rFonts w:hint="eastAsia" w:ascii="仿宋" w:hAnsi="仿宋" w:eastAsia="仿宋" w:cs="黑体"/>
          <w:spacing w:val="-6"/>
          <w:kern w:val="0"/>
          <w:sz w:val="32"/>
          <w:szCs w:val="32"/>
          <w:lang w:bidi="ar"/>
        </w:rPr>
        <w:t>五、课程设置、各教学环节安排</w:t>
      </w:r>
    </w:p>
    <w:tbl>
      <w:tblPr>
        <w:tblStyle w:val="6"/>
        <w:tblW w:w="8771" w:type="dxa"/>
        <w:jc w:val="center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20"/>
        <w:gridCol w:w="1282"/>
        <w:gridCol w:w="1931"/>
        <w:gridCol w:w="421"/>
        <w:gridCol w:w="497"/>
        <w:gridCol w:w="544"/>
        <w:gridCol w:w="609"/>
        <w:gridCol w:w="566"/>
        <w:gridCol w:w="625"/>
        <w:gridCol w:w="1676"/>
      </w:tblGrid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blHeader/>
          <w:jc w:val="center"/>
        </w:trPr>
        <w:tc>
          <w:tcPr>
            <w:tcW w:w="620" w:type="dxa"/>
            <w:vMerge w:val="restart"/>
            <w:tcBorders>
              <w:top w:val="inset" w:color="111111" w:sz="6" w:space="0"/>
              <w:left w:val="inset" w:color="111111" w:sz="6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1"/>
              </w:rPr>
              <w:t>课程</w:t>
            </w:r>
          </w:p>
          <w:p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1"/>
              </w:rPr>
              <w:t>模块</w:t>
            </w:r>
          </w:p>
        </w:tc>
        <w:tc>
          <w:tcPr>
            <w:tcW w:w="1282" w:type="dxa"/>
            <w:vMerge w:val="restart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1"/>
              </w:rPr>
              <w:t>开课</w:t>
            </w:r>
          </w:p>
          <w:p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1"/>
              </w:rPr>
              <w:t>单位</w:t>
            </w:r>
          </w:p>
        </w:tc>
        <w:tc>
          <w:tcPr>
            <w:tcW w:w="1931" w:type="dxa"/>
            <w:vMerge w:val="restart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1"/>
              </w:rPr>
              <w:t>课程名称</w:t>
            </w:r>
          </w:p>
        </w:tc>
        <w:tc>
          <w:tcPr>
            <w:tcW w:w="421" w:type="dxa"/>
            <w:vMerge w:val="restart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1"/>
              </w:rPr>
              <w:t>学</w:t>
            </w:r>
          </w:p>
          <w:p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1"/>
              </w:rPr>
              <w:t>分</w:t>
            </w:r>
          </w:p>
        </w:tc>
        <w:tc>
          <w:tcPr>
            <w:tcW w:w="2216" w:type="dxa"/>
            <w:gridSpan w:val="4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1"/>
              </w:rPr>
              <w:t>学时数</w:t>
            </w:r>
          </w:p>
        </w:tc>
        <w:tc>
          <w:tcPr>
            <w:tcW w:w="625" w:type="dxa"/>
            <w:vMerge w:val="restart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1"/>
              </w:rPr>
              <w:t>学期安排</w:t>
            </w:r>
          </w:p>
        </w:tc>
        <w:tc>
          <w:tcPr>
            <w:tcW w:w="1676" w:type="dxa"/>
            <w:vMerge w:val="restart"/>
            <w:tcBorders>
              <w:top w:val="inset" w:color="111111" w:sz="6" w:space="0"/>
              <w:left w:val="single" w:color="auto" w:sz="4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1"/>
              </w:rPr>
              <w:t>备注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63" w:hRule="atLeast"/>
          <w:tblHeader/>
          <w:jc w:val="center"/>
        </w:trPr>
        <w:tc>
          <w:tcPr>
            <w:tcW w:w="620" w:type="dxa"/>
            <w:vMerge w:val="continue"/>
            <w:tcBorders>
              <w:top w:val="inset" w:color="111111" w:sz="6" w:space="0"/>
              <w:left w:val="inset" w:color="111111" w:sz="6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vMerge w:val="continue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931" w:type="dxa"/>
            <w:vMerge w:val="continue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421" w:type="dxa"/>
            <w:vMerge w:val="continue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497" w:type="dxa"/>
            <w:vMerge w:val="restart"/>
            <w:tcBorders>
              <w:top w:val="single" w:color="auto" w:sz="2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1"/>
              </w:rPr>
              <w:t>总学时</w:t>
            </w:r>
          </w:p>
        </w:tc>
        <w:tc>
          <w:tcPr>
            <w:tcW w:w="1719" w:type="dxa"/>
            <w:gridSpan w:val="3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single" w:color="auto" w:sz="2" w:space="0"/>
            </w:tcBorders>
            <w:vAlign w:val="center"/>
          </w:tcPr>
          <w:p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1"/>
              </w:rPr>
              <w:t>其中</w:t>
            </w:r>
          </w:p>
        </w:tc>
        <w:tc>
          <w:tcPr>
            <w:tcW w:w="625" w:type="dxa"/>
            <w:vMerge w:val="continue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76" w:type="dxa"/>
            <w:vMerge w:val="continue"/>
            <w:tcBorders>
              <w:top w:val="inset" w:color="111111" w:sz="6" w:space="0"/>
              <w:left w:val="single" w:color="auto" w:sz="4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798" w:hRule="atLeast"/>
          <w:tblHeader/>
          <w:jc w:val="center"/>
        </w:trPr>
        <w:tc>
          <w:tcPr>
            <w:tcW w:w="620" w:type="dxa"/>
            <w:vMerge w:val="continue"/>
            <w:tcBorders>
              <w:top w:val="inset" w:color="111111" w:sz="6" w:space="0"/>
              <w:left w:val="inset" w:color="111111" w:sz="6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vMerge w:val="continue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931" w:type="dxa"/>
            <w:vMerge w:val="continue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421" w:type="dxa"/>
            <w:vMerge w:val="continue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497" w:type="dxa"/>
            <w:vMerge w:val="continue"/>
            <w:tcBorders>
              <w:top w:val="single" w:color="auto" w:sz="2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544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1"/>
              </w:rPr>
              <w:t>实验</w:t>
            </w:r>
          </w:p>
        </w:tc>
        <w:tc>
          <w:tcPr>
            <w:tcW w:w="609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1"/>
              </w:rPr>
              <w:t>上机</w:t>
            </w:r>
          </w:p>
        </w:tc>
        <w:tc>
          <w:tcPr>
            <w:tcW w:w="566" w:type="dxa"/>
            <w:tcBorders>
              <w:top w:val="single" w:color="auto" w:sz="4" w:space="0"/>
              <w:left w:val="single" w:color="auto" w:sz="2" w:space="0"/>
              <w:bottom w:val="inset" w:color="111111" w:sz="6" w:space="0"/>
              <w:right w:val="single" w:color="auto" w:sz="2" w:space="0"/>
            </w:tcBorders>
          </w:tcPr>
          <w:p>
            <w:pPr>
              <w:widowControl/>
              <w:snapToGrid w:val="0"/>
              <w:spacing w:before="100" w:beforeAutospacing="1" w:after="100" w:afterAutospacing="1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1"/>
              </w:rPr>
              <w:t>课堂实践</w:t>
            </w:r>
          </w:p>
        </w:tc>
        <w:tc>
          <w:tcPr>
            <w:tcW w:w="625" w:type="dxa"/>
            <w:vMerge w:val="continue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676" w:type="dxa"/>
            <w:vMerge w:val="continue"/>
            <w:tcBorders>
              <w:top w:val="inset" w:color="111111" w:sz="6" w:space="0"/>
              <w:left w:val="single" w:color="auto" w:sz="4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snapToGrid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0" w:hRule="atLeast"/>
          <w:jc w:val="center"/>
        </w:trPr>
        <w:tc>
          <w:tcPr>
            <w:tcW w:w="620" w:type="dxa"/>
            <w:vMerge w:val="restart"/>
            <w:tcBorders>
              <w:top w:val="inset" w:color="111111" w:sz="6" w:space="0"/>
              <w:left w:val="inset" w:color="111111" w:sz="6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理念基础与心理素质模块</w:t>
            </w:r>
          </w:p>
        </w:tc>
        <w:tc>
          <w:tcPr>
            <w:tcW w:w="1282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管理经济学</w:t>
            </w:r>
          </w:p>
        </w:tc>
        <w:tc>
          <w:tcPr>
            <w:tcW w:w="42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2.5</w:t>
            </w:r>
          </w:p>
        </w:tc>
        <w:tc>
          <w:tcPr>
            <w:tcW w:w="497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40</w:t>
            </w:r>
          </w:p>
        </w:tc>
        <w:tc>
          <w:tcPr>
            <w:tcW w:w="544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single" w:color="auto" w:sz="2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  <w:tc>
          <w:tcPr>
            <w:tcW w:w="625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3</w:t>
            </w:r>
          </w:p>
        </w:tc>
        <w:tc>
          <w:tcPr>
            <w:tcW w:w="167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0" w:hRule="atLeast"/>
          <w:jc w:val="center"/>
        </w:trPr>
        <w:tc>
          <w:tcPr>
            <w:tcW w:w="620" w:type="dxa"/>
            <w:vMerge w:val="continue"/>
            <w:tcBorders>
              <w:top w:val="inset" w:color="111111" w:sz="6" w:space="0"/>
              <w:left w:val="inset" w:color="111111" w:sz="6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企业管理</w:t>
            </w:r>
          </w:p>
        </w:tc>
        <w:tc>
          <w:tcPr>
            <w:tcW w:w="42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2.5</w:t>
            </w:r>
          </w:p>
        </w:tc>
        <w:tc>
          <w:tcPr>
            <w:tcW w:w="497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40</w:t>
            </w:r>
          </w:p>
        </w:tc>
        <w:tc>
          <w:tcPr>
            <w:tcW w:w="544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single" w:color="auto" w:sz="2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8</w:t>
            </w:r>
          </w:p>
        </w:tc>
        <w:tc>
          <w:tcPr>
            <w:tcW w:w="625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5</w:t>
            </w:r>
          </w:p>
        </w:tc>
        <w:tc>
          <w:tcPr>
            <w:tcW w:w="167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0" w:hRule="atLeast"/>
          <w:jc w:val="center"/>
        </w:trPr>
        <w:tc>
          <w:tcPr>
            <w:tcW w:w="620" w:type="dxa"/>
            <w:vMerge w:val="continue"/>
            <w:tcBorders>
              <w:top w:val="inset" w:color="111111" w:sz="6" w:space="0"/>
              <w:left w:val="inset" w:color="111111" w:sz="6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创业管理</w:t>
            </w:r>
          </w:p>
        </w:tc>
        <w:tc>
          <w:tcPr>
            <w:tcW w:w="42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2.5</w:t>
            </w:r>
          </w:p>
        </w:tc>
        <w:tc>
          <w:tcPr>
            <w:tcW w:w="497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40</w:t>
            </w:r>
          </w:p>
        </w:tc>
        <w:tc>
          <w:tcPr>
            <w:tcW w:w="544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single" w:color="auto" w:sz="2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  <w:tc>
          <w:tcPr>
            <w:tcW w:w="625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3</w:t>
            </w:r>
          </w:p>
        </w:tc>
        <w:tc>
          <w:tcPr>
            <w:tcW w:w="167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0" w:hRule="atLeast"/>
          <w:jc w:val="center"/>
        </w:trPr>
        <w:tc>
          <w:tcPr>
            <w:tcW w:w="620" w:type="dxa"/>
            <w:vMerge w:val="continue"/>
            <w:tcBorders>
              <w:top w:val="inset" w:color="111111" w:sz="6" w:space="0"/>
              <w:left w:val="inset" w:color="111111" w:sz="6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人文学院</w:t>
            </w:r>
          </w:p>
        </w:tc>
        <w:tc>
          <w:tcPr>
            <w:tcW w:w="193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创业心理学</w:t>
            </w:r>
          </w:p>
        </w:tc>
        <w:tc>
          <w:tcPr>
            <w:tcW w:w="42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1.5</w:t>
            </w:r>
          </w:p>
        </w:tc>
        <w:tc>
          <w:tcPr>
            <w:tcW w:w="497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24</w:t>
            </w:r>
          </w:p>
        </w:tc>
        <w:tc>
          <w:tcPr>
            <w:tcW w:w="544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single" w:color="auto" w:sz="2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12</w:t>
            </w:r>
          </w:p>
        </w:tc>
        <w:tc>
          <w:tcPr>
            <w:tcW w:w="625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4</w:t>
            </w:r>
          </w:p>
        </w:tc>
        <w:tc>
          <w:tcPr>
            <w:tcW w:w="167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577" w:hRule="atLeast"/>
          <w:jc w:val="center"/>
        </w:trPr>
        <w:tc>
          <w:tcPr>
            <w:tcW w:w="620" w:type="dxa"/>
            <w:vMerge w:val="continue"/>
            <w:tcBorders>
              <w:top w:val="inset" w:color="111111" w:sz="6" w:space="0"/>
              <w:left w:val="inset" w:color="111111" w:sz="6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spacing w:before="100" w:beforeAutospacing="1" w:after="100" w:afterAutospacing="1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海上丝绸之路的创业文化</w:t>
            </w:r>
          </w:p>
        </w:tc>
        <w:tc>
          <w:tcPr>
            <w:tcW w:w="42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1.5</w:t>
            </w:r>
          </w:p>
        </w:tc>
        <w:tc>
          <w:tcPr>
            <w:tcW w:w="497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24</w:t>
            </w:r>
          </w:p>
        </w:tc>
        <w:tc>
          <w:tcPr>
            <w:tcW w:w="544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single" w:color="auto" w:sz="2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4</w:t>
            </w:r>
          </w:p>
        </w:tc>
        <w:tc>
          <w:tcPr>
            <w:tcW w:w="625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6</w:t>
            </w:r>
          </w:p>
        </w:tc>
        <w:tc>
          <w:tcPr>
            <w:tcW w:w="167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0" w:hRule="atLeast"/>
          <w:jc w:val="center"/>
        </w:trPr>
        <w:tc>
          <w:tcPr>
            <w:tcW w:w="620" w:type="dxa"/>
            <w:vMerge w:val="restart"/>
            <w:tcBorders>
              <w:top w:val="inset" w:color="111111" w:sz="6" w:space="0"/>
              <w:left w:val="inset" w:color="111111" w:sz="6" w:space="0"/>
              <w:bottom w:val="single" w:color="auto" w:sz="4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技能掌握模块</w:t>
            </w:r>
          </w:p>
        </w:tc>
        <w:tc>
          <w:tcPr>
            <w:tcW w:w="1282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创业机会识别</w:t>
            </w:r>
          </w:p>
        </w:tc>
        <w:tc>
          <w:tcPr>
            <w:tcW w:w="42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2</w:t>
            </w:r>
          </w:p>
        </w:tc>
        <w:tc>
          <w:tcPr>
            <w:tcW w:w="497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32</w:t>
            </w:r>
          </w:p>
        </w:tc>
        <w:tc>
          <w:tcPr>
            <w:tcW w:w="544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single" w:color="auto" w:sz="2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8</w:t>
            </w:r>
          </w:p>
        </w:tc>
        <w:tc>
          <w:tcPr>
            <w:tcW w:w="625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4</w:t>
            </w:r>
          </w:p>
        </w:tc>
        <w:tc>
          <w:tcPr>
            <w:tcW w:w="167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0" w:hRule="atLeast"/>
          <w:jc w:val="center"/>
        </w:trPr>
        <w:tc>
          <w:tcPr>
            <w:tcW w:w="620" w:type="dxa"/>
            <w:vMerge w:val="continue"/>
            <w:tcBorders>
              <w:top w:val="inset" w:color="111111" w:sz="6" w:space="0"/>
              <w:left w:val="inset" w:color="111111" w:sz="6" w:space="0"/>
              <w:bottom w:val="single" w:color="auto" w:sz="4" w:space="0"/>
              <w:right w:val="inset" w:color="111111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商业计划书</w:t>
            </w:r>
          </w:p>
        </w:tc>
        <w:tc>
          <w:tcPr>
            <w:tcW w:w="42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2</w:t>
            </w:r>
          </w:p>
        </w:tc>
        <w:tc>
          <w:tcPr>
            <w:tcW w:w="497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32</w:t>
            </w:r>
          </w:p>
        </w:tc>
        <w:tc>
          <w:tcPr>
            <w:tcW w:w="544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single" w:color="auto" w:sz="2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8</w:t>
            </w:r>
          </w:p>
        </w:tc>
        <w:tc>
          <w:tcPr>
            <w:tcW w:w="625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4</w:t>
            </w:r>
          </w:p>
        </w:tc>
        <w:tc>
          <w:tcPr>
            <w:tcW w:w="167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0" w:hRule="atLeast"/>
          <w:jc w:val="center"/>
        </w:trPr>
        <w:tc>
          <w:tcPr>
            <w:tcW w:w="620" w:type="dxa"/>
            <w:vMerge w:val="continue"/>
            <w:tcBorders>
              <w:top w:val="inset" w:color="111111" w:sz="6" w:space="0"/>
              <w:left w:val="inset" w:color="111111" w:sz="6" w:space="0"/>
              <w:bottom w:val="single" w:color="auto" w:sz="4" w:space="0"/>
              <w:right w:val="inset" w:color="111111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经管/机械/工艺美院</w:t>
            </w:r>
          </w:p>
        </w:tc>
        <w:tc>
          <w:tcPr>
            <w:tcW w:w="193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技术创新创业者的设计思维</w:t>
            </w:r>
          </w:p>
        </w:tc>
        <w:tc>
          <w:tcPr>
            <w:tcW w:w="42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2</w:t>
            </w:r>
          </w:p>
        </w:tc>
        <w:tc>
          <w:tcPr>
            <w:tcW w:w="497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32</w:t>
            </w:r>
          </w:p>
        </w:tc>
        <w:tc>
          <w:tcPr>
            <w:tcW w:w="544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single" w:color="auto" w:sz="2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16</w:t>
            </w:r>
          </w:p>
        </w:tc>
        <w:tc>
          <w:tcPr>
            <w:tcW w:w="625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3</w:t>
            </w:r>
          </w:p>
        </w:tc>
        <w:tc>
          <w:tcPr>
            <w:tcW w:w="167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9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40" w:hRule="atLeast"/>
          <w:jc w:val="center"/>
        </w:trPr>
        <w:tc>
          <w:tcPr>
            <w:tcW w:w="620" w:type="dxa"/>
            <w:vMerge w:val="continue"/>
            <w:tcBorders>
              <w:top w:val="inset" w:color="111111" w:sz="6" w:space="0"/>
              <w:left w:val="inset" w:color="111111" w:sz="6" w:space="0"/>
              <w:bottom w:val="single" w:color="auto" w:sz="4" w:space="0"/>
              <w:right w:val="inset" w:color="111111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创业融资</w:t>
            </w:r>
          </w:p>
        </w:tc>
        <w:tc>
          <w:tcPr>
            <w:tcW w:w="42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2</w:t>
            </w:r>
          </w:p>
        </w:tc>
        <w:tc>
          <w:tcPr>
            <w:tcW w:w="497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32</w:t>
            </w:r>
          </w:p>
        </w:tc>
        <w:tc>
          <w:tcPr>
            <w:tcW w:w="544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single" w:color="auto" w:sz="2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  <w:tc>
          <w:tcPr>
            <w:tcW w:w="625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5</w:t>
            </w:r>
          </w:p>
        </w:tc>
        <w:tc>
          <w:tcPr>
            <w:tcW w:w="167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70" w:hRule="atLeast"/>
          <w:jc w:val="center"/>
        </w:trPr>
        <w:tc>
          <w:tcPr>
            <w:tcW w:w="620" w:type="dxa"/>
            <w:vMerge w:val="continue"/>
            <w:tcBorders>
              <w:top w:val="inset" w:color="111111" w:sz="6" w:space="0"/>
              <w:left w:val="inset" w:color="111111" w:sz="6" w:space="0"/>
              <w:bottom w:val="single" w:color="auto" w:sz="4" w:space="0"/>
              <w:right w:val="inset" w:color="111111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adjustRightInd w:val="0"/>
              <w:snapToGrid w:val="0"/>
              <w:spacing w:before="100" w:beforeAutospacing="1" w:after="100" w:afterAutospacing="1" w:line="240" w:lineRule="atLeas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创业团队与领导力提升</w:t>
            </w:r>
          </w:p>
        </w:tc>
        <w:tc>
          <w:tcPr>
            <w:tcW w:w="42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2</w:t>
            </w:r>
          </w:p>
        </w:tc>
        <w:tc>
          <w:tcPr>
            <w:tcW w:w="497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32</w:t>
            </w:r>
          </w:p>
        </w:tc>
        <w:tc>
          <w:tcPr>
            <w:tcW w:w="544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56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single" w:color="auto" w:sz="2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16</w:t>
            </w:r>
          </w:p>
        </w:tc>
        <w:tc>
          <w:tcPr>
            <w:tcW w:w="625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5</w:t>
            </w:r>
          </w:p>
        </w:tc>
        <w:tc>
          <w:tcPr>
            <w:tcW w:w="167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jc w:val="center"/>
        </w:trPr>
        <w:tc>
          <w:tcPr>
            <w:tcW w:w="620" w:type="dxa"/>
            <w:vMerge w:val="continue"/>
            <w:tcBorders>
              <w:top w:val="inset" w:color="111111" w:sz="6" w:space="0"/>
              <w:left w:val="inset" w:color="111111" w:sz="6" w:space="0"/>
              <w:bottom w:val="single" w:color="auto" w:sz="4" w:space="0"/>
              <w:right w:val="inset" w:color="111111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创业法律法规</w:t>
            </w:r>
          </w:p>
        </w:tc>
        <w:tc>
          <w:tcPr>
            <w:tcW w:w="42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2</w:t>
            </w:r>
          </w:p>
        </w:tc>
        <w:tc>
          <w:tcPr>
            <w:tcW w:w="497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32</w:t>
            </w:r>
          </w:p>
        </w:tc>
        <w:tc>
          <w:tcPr>
            <w:tcW w:w="544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single" w:color="auto" w:sz="2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16</w:t>
            </w:r>
          </w:p>
        </w:tc>
        <w:tc>
          <w:tcPr>
            <w:tcW w:w="625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6</w:t>
            </w:r>
          </w:p>
        </w:tc>
        <w:tc>
          <w:tcPr>
            <w:tcW w:w="167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397" w:hRule="atLeast"/>
          <w:jc w:val="center"/>
        </w:trPr>
        <w:tc>
          <w:tcPr>
            <w:tcW w:w="620" w:type="dxa"/>
            <w:vMerge w:val="restart"/>
            <w:tcBorders>
              <w:top w:val="single" w:color="auto" w:sz="4" w:space="0"/>
              <w:left w:val="inset" w:color="111111" w:sz="6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实践训练模块</w:t>
            </w:r>
          </w:p>
        </w:tc>
        <w:tc>
          <w:tcPr>
            <w:tcW w:w="1282" w:type="dxa"/>
            <w:tcBorders>
              <w:top w:val="inset" w:color="111111" w:sz="6" w:space="0"/>
              <w:left w:val="single" w:color="auto" w:sz="2" w:space="0"/>
              <w:bottom w:val="nil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color="111111" w:sz="6" w:space="0"/>
              <w:left w:val="single" w:color="auto" w:sz="2" w:space="0"/>
              <w:bottom w:val="nil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企业决策模拟</w:t>
            </w:r>
          </w:p>
        </w:tc>
        <w:tc>
          <w:tcPr>
            <w:tcW w:w="421" w:type="dxa"/>
            <w:tcBorders>
              <w:top w:val="inset" w:color="111111" w:sz="6" w:space="0"/>
              <w:left w:val="single" w:color="auto" w:sz="2" w:space="0"/>
              <w:bottom w:val="nil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1.5</w:t>
            </w:r>
          </w:p>
        </w:tc>
        <w:tc>
          <w:tcPr>
            <w:tcW w:w="497" w:type="dxa"/>
            <w:tcBorders>
              <w:top w:val="inset" w:color="111111" w:sz="6" w:space="0"/>
              <w:left w:val="single" w:color="auto" w:sz="2" w:space="0"/>
              <w:bottom w:val="nil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24</w:t>
            </w:r>
          </w:p>
        </w:tc>
        <w:tc>
          <w:tcPr>
            <w:tcW w:w="544" w:type="dxa"/>
            <w:tcBorders>
              <w:top w:val="inset" w:color="111111" w:sz="6" w:space="0"/>
              <w:left w:val="single" w:color="auto" w:sz="2" w:space="0"/>
              <w:bottom w:val="nil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24</w:t>
            </w:r>
          </w:p>
        </w:tc>
        <w:tc>
          <w:tcPr>
            <w:tcW w:w="609" w:type="dxa"/>
            <w:tcBorders>
              <w:top w:val="inset" w:color="111111" w:sz="6" w:space="0"/>
              <w:left w:val="single" w:color="auto" w:sz="2" w:space="0"/>
              <w:bottom w:val="nil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color="111111" w:sz="6" w:space="0"/>
              <w:left w:val="single" w:color="auto" w:sz="2" w:space="0"/>
              <w:bottom w:val="nil"/>
              <w:right w:val="single" w:color="auto" w:sz="2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625" w:type="dxa"/>
            <w:tcBorders>
              <w:top w:val="inset" w:color="111111" w:sz="6" w:space="0"/>
              <w:left w:val="single" w:color="auto" w:sz="2" w:space="0"/>
              <w:bottom w:val="nil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7</w:t>
            </w:r>
          </w:p>
        </w:tc>
        <w:tc>
          <w:tcPr>
            <w:tcW w:w="1676" w:type="dxa"/>
            <w:tcBorders>
              <w:top w:val="inset" w:color="111111" w:sz="6" w:space="0"/>
              <w:left w:val="single" w:color="auto" w:sz="2" w:space="0"/>
              <w:bottom w:val="nil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 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262" w:hRule="atLeast"/>
          <w:jc w:val="center"/>
        </w:trPr>
        <w:tc>
          <w:tcPr>
            <w:tcW w:w="620" w:type="dxa"/>
            <w:vMerge w:val="continue"/>
            <w:tcBorders>
              <w:top w:val="single" w:color="auto" w:sz="4" w:space="0"/>
              <w:left w:val="inset" w:color="111111" w:sz="6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创新创业体验</w:t>
            </w:r>
          </w:p>
        </w:tc>
        <w:tc>
          <w:tcPr>
            <w:tcW w:w="42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  <w:t>9</w:t>
            </w:r>
          </w:p>
        </w:tc>
        <w:tc>
          <w:tcPr>
            <w:tcW w:w="497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544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single" w:color="auto" w:sz="2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625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3-8</w:t>
            </w:r>
          </w:p>
        </w:tc>
        <w:tc>
          <w:tcPr>
            <w:tcW w:w="167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听创业类讲座，参加创业沙龙、团队路演等体验活动累计8次可计4学分；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1"/>
              </w:rPr>
              <w:t>参加各级各类创新创业活动及竞赛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可计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1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学分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990" w:hRule="atLeast"/>
          <w:jc w:val="center"/>
        </w:trPr>
        <w:tc>
          <w:tcPr>
            <w:tcW w:w="620" w:type="dxa"/>
            <w:vMerge w:val="continue"/>
            <w:tcBorders>
              <w:top w:val="single" w:color="auto" w:sz="4" w:space="0"/>
              <w:left w:val="inset" w:color="111111" w:sz="6" w:space="0"/>
              <w:bottom w:val="inset" w:color="111111" w:sz="6" w:space="0"/>
              <w:right w:val="inset" w:color="111111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经管院</w:t>
            </w:r>
          </w:p>
        </w:tc>
        <w:tc>
          <w:tcPr>
            <w:tcW w:w="193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创业项目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  <w:lang w:eastAsia="zh-CN"/>
              </w:rPr>
              <w:t>综合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实践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  <w:lang w:eastAsia="zh-CN"/>
              </w:rPr>
              <w:t>毕业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  <w:lang w:val="en-US" w:eastAsia="zh-CN"/>
              </w:rPr>
              <w:t>设计</w:t>
            </w:r>
          </w:p>
        </w:tc>
        <w:tc>
          <w:tcPr>
            <w:tcW w:w="42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12</w:t>
            </w:r>
          </w:p>
        </w:tc>
        <w:tc>
          <w:tcPr>
            <w:tcW w:w="497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544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single" w:color="auto" w:sz="2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625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8</w:t>
            </w:r>
          </w:p>
        </w:tc>
        <w:tc>
          <w:tcPr>
            <w:tcW w:w="167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开展项目创业实践，项目商业计划书通过答辩</w:t>
            </w:r>
          </w:p>
        </w:tc>
      </w:tr>
      <w:tr>
        <w:tblPrEx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84" w:hRule="atLeast"/>
          <w:jc w:val="center"/>
        </w:trPr>
        <w:tc>
          <w:tcPr>
            <w:tcW w:w="3833" w:type="dxa"/>
            <w:gridSpan w:val="3"/>
            <w:tcBorders>
              <w:top w:val="inset" w:color="111111" w:sz="6" w:space="0"/>
              <w:left w:val="inset" w:color="111111" w:sz="6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1"/>
              </w:rPr>
              <w:t>总计</w:t>
            </w:r>
          </w:p>
        </w:tc>
        <w:tc>
          <w:tcPr>
            <w:tcW w:w="421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1"/>
              </w:rPr>
              <w:t>45</w:t>
            </w:r>
          </w:p>
        </w:tc>
        <w:tc>
          <w:tcPr>
            <w:tcW w:w="497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544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609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56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single" w:color="auto" w:sz="2" w:space="0"/>
            </w:tcBorders>
            <w:shd w:val="clear" w:color="auto" w:fill="FFFFFF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625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 </w:t>
            </w:r>
          </w:p>
        </w:tc>
        <w:tc>
          <w:tcPr>
            <w:tcW w:w="1676" w:type="dxa"/>
            <w:tcBorders>
              <w:top w:val="inset" w:color="111111" w:sz="6" w:space="0"/>
              <w:left w:val="single" w:color="auto" w:sz="2" w:space="0"/>
              <w:bottom w:val="inset" w:color="111111" w:sz="6" w:space="0"/>
              <w:right w:val="inset" w:color="111111" w:sz="6" w:space="0"/>
            </w:tcBorders>
            <w:shd w:val="clear" w:color="auto" w:fill="FFFFFF"/>
            <w:vAlign w:val="center"/>
          </w:tcPr>
          <w:p>
            <w:pPr>
              <w:widowControl/>
              <w:spacing w:before="100" w:beforeAutospacing="1" w:after="100" w:afterAutospacing="1" w:line="300" w:lineRule="exact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1"/>
              </w:rPr>
              <w:t> </w:t>
            </w:r>
          </w:p>
        </w:tc>
      </w:tr>
    </w:tbl>
    <w:p>
      <w:pPr>
        <w:widowControl/>
        <w:adjustRightInd w:val="0"/>
        <w:snapToGrid w:val="0"/>
        <w:spacing w:before="156" w:beforeLines="50" w:after="100" w:afterAutospacing="1" w:line="30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1"/>
        </w:rPr>
      </w:pPr>
      <w:r>
        <w:rPr>
          <w:rFonts w:hint="eastAsia" w:ascii="黑体" w:hAnsi="黑体" w:eastAsia="黑体" w:cs="宋体"/>
          <w:color w:val="000000"/>
          <w:kern w:val="0"/>
          <w:sz w:val="24"/>
          <w:szCs w:val="21"/>
        </w:rPr>
        <w:t>注：</w:t>
      </w:r>
      <w:r>
        <w:rPr>
          <w:rFonts w:ascii="宋体" w:hAnsi="宋体" w:eastAsia="宋体" w:cs="宋体"/>
          <w:color w:val="000000"/>
          <w:kern w:val="0"/>
          <w:sz w:val="24"/>
          <w:szCs w:val="21"/>
        </w:rPr>
        <w:t>学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1"/>
          <w14:textFill>
            <w14:solidFill>
              <w14:schemeClr w14:val="tx1"/>
            </w14:solidFill>
          </w14:textFill>
        </w:rPr>
        <w:t>生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14:textFill>
            <w14:solidFill>
              <w14:schemeClr w14:val="tx1"/>
            </w14:solidFill>
          </w14:textFill>
        </w:rPr>
        <w:t>作为原始股东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1"/>
          <w14:textFill>
            <w14:solidFill>
              <w14:schemeClr w14:val="tx1"/>
            </w14:solidFill>
          </w14:textFill>
        </w:rPr>
        <w:t>注册公司、组建工作室以自主创业方式进行创业实践，运营满一年，可凭公司工商登记证明、公司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14:textFill>
            <w14:solidFill>
              <w14:schemeClr w14:val="tx1"/>
            </w14:solidFill>
          </w14:textFill>
        </w:rPr>
        <w:t>主营业务运营进展报告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1"/>
          <w14:textFill>
            <w14:solidFill>
              <w14:schemeClr w14:val="tx1"/>
            </w14:solidFill>
          </w14:textFill>
        </w:rPr>
        <w:t>、公司纳税证明、公司财务报表、产品销售/技术服务正式发票等以上所有材料，公司或工作室的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1"/>
          <w14:textFill>
            <w14:solidFill>
              <w14:schemeClr w14:val="tx1"/>
            </w14:solidFill>
          </w14:textFill>
        </w:rPr>
        <w:t>至多</w:t>
      </w:r>
      <w:r>
        <w:rPr>
          <w:rFonts w:ascii="宋体" w:hAnsi="宋体" w:eastAsia="宋体" w:cs="宋体"/>
          <w:color w:val="000000" w:themeColor="text1"/>
          <w:kern w:val="0"/>
          <w:sz w:val="24"/>
          <w:szCs w:val="21"/>
          <w14:textFill>
            <w14:solidFill>
              <w14:schemeClr w14:val="tx1"/>
            </w14:solidFill>
          </w14:textFill>
        </w:rPr>
        <w:t>3名核心</w:t>
      </w:r>
      <w:r>
        <w:rPr>
          <w:rFonts w:ascii="宋体" w:hAnsi="宋体" w:eastAsia="宋体" w:cs="宋体"/>
          <w:color w:val="000000"/>
          <w:kern w:val="0"/>
          <w:sz w:val="24"/>
          <w:szCs w:val="21"/>
        </w:rPr>
        <w:t>成员（须为企业持股30%以上的法定代表人或占51%以上的控股股东）可免修获得《企业决策模拟》、《创业实践体验》及《创业项目综合实践》三门课的学分。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hint="eastAsia" w:ascii="仿宋" w:hAnsi="仿宋" w:eastAsia="仿宋" w:cs="黑体"/>
          <w:spacing w:val="-6"/>
          <w:kern w:val="0"/>
          <w:sz w:val="32"/>
          <w:szCs w:val="32"/>
          <w:lang w:bidi="ar"/>
        </w:rPr>
        <w:t>六、招生选拔</w:t>
      </w:r>
    </w:p>
    <w:p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hAnsi="仿宋" w:eastAsia="仿宋" w:cs="Times New Roman"/>
          <w:szCs w:val="24"/>
        </w:rPr>
      </w:pPr>
      <w:r>
        <w:rPr>
          <w:rFonts w:hint="eastAsia" w:ascii="仿宋" w:hAnsi="仿宋" w:eastAsia="仿宋" w:cs="宋体"/>
          <w:b/>
          <w:spacing w:val="-6"/>
          <w:kern w:val="0"/>
          <w:sz w:val="32"/>
          <w:szCs w:val="32"/>
          <w:lang w:bidi="ar"/>
        </w:rPr>
        <w:t>1</w:t>
      </w:r>
      <w:r>
        <w:rPr>
          <w:rFonts w:ascii="仿宋" w:hAnsi="仿宋" w:eastAsia="仿宋" w:cs="宋体"/>
          <w:b/>
          <w:spacing w:val="-6"/>
          <w:kern w:val="0"/>
          <w:sz w:val="32"/>
          <w:szCs w:val="32"/>
          <w:lang w:bidi="ar"/>
        </w:rPr>
        <w:t>.基本原则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自愿报名、择优选拔，</w:t>
      </w:r>
      <w:r>
        <w:rPr>
          <w:rFonts w:hint="eastAsia" w:ascii="仿宋" w:hAnsi="仿宋" w:eastAsia="仿宋" w:cs="宋体"/>
          <w:spacing w:val="-6"/>
          <w:kern w:val="0"/>
          <w:sz w:val="32"/>
          <w:szCs w:val="32"/>
          <w:lang w:bidi="ar"/>
        </w:rPr>
        <w:t>每届</w:t>
      </w:r>
      <w:r>
        <w:rPr>
          <w:rFonts w:ascii="仿宋" w:hAnsi="仿宋" w:eastAsia="仿宋" w:cs="宋体"/>
          <w:b/>
          <w:spacing w:val="-6"/>
          <w:kern w:val="0"/>
          <w:sz w:val="32"/>
          <w:szCs w:val="32"/>
          <w:lang w:bidi="ar"/>
        </w:rPr>
        <w:t>不超过40人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。</w:t>
      </w:r>
    </w:p>
    <w:p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hAnsi="仿宋" w:eastAsia="仿宋" w:cs="Times New Roman"/>
          <w:szCs w:val="24"/>
        </w:rPr>
      </w:pPr>
      <w:r>
        <w:rPr>
          <w:rFonts w:hint="eastAsia" w:ascii="仿宋" w:hAnsi="仿宋" w:eastAsia="仿宋" w:cs="宋体"/>
          <w:b/>
          <w:spacing w:val="-6"/>
          <w:kern w:val="0"/>
          <w:sz w:val="32"/>
          <w:szCs w:val="32"/>
          <w:lang w:bidi="ar"/>
        </w:rPr>
        <w:t>2</w:t>
      </w:r>
      <w:r>
        <w:rPr>
          <w:rFonts w:ascii="仿宋" w:hAnsi="仿宋" w:eastAsia="仿宋" w:cs="宋体"/>
          <w:b/>
          <w:spacing w:val="-6"/>
          <w:kern w:val="0"/>
          <w:sz w:val="32"/>
          <w:szCs w:val="32"/>
          <w:lang w:bidi="ar"/>
        </w:rPr>
        <w:t>.选拔条件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bCs/>
          <w:spacing w:val="-6"/>
          <w:kern w:val="0"/>
          <w:sz w:val="32"/>
          <w:szCs w:val="32"/>
          <w:lang w:bidi="ar"/>
        </w:rPr>
        <w:t>面向全</w:t>
      </w:r>
      <w:r>
        <w:rPr>
          <w:rFonts w:ascii="仿宋" w:hAnsi="仿宋" w:eastAsia="仿宋" w:cs="宋体"/>
          <w:bCs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校二年级本科生进行培养。</w:t>
      </w: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学生可在大一下自愿报名，由学校组织选拔考核，择优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录取学生组建实验班。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满足以下条件之一者优先考虑：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hint="eastAsia" w:ascii="仿宋" w:hAnsi="仿宋" w:eastAsia="仿宋" w:cs="宋体"/>
          <w:spacing w:val="-6"/>
          <w:kern w:val="0"/>
          <w:sz w:val="32"/>
          <w:szCs w:val="32"/>
          <w:lang w:bidi="ar"/>
        </w:rPr>
        <w:t>（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1</w:t>
      </w:r>
      <w:r>
        <w:rPr>
          <w:rFonts w:hint="eastAsia" w:ascii="仿宋" w:hAnsi="仿宋" w:eastAsia="仿宋" w:cs="宋体"/>
          <w:spacing w:val="-6"/>
          <w:kern w:val="0"/>
          <w:sz w:val="32"/>
          <w:szCs w:val="32"/>
          <w:lang w:bidi="ar"/>
        </w:rPr>
        <w:t>）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参加过各种创新创业竞赛活动并获省级以上奖励者；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hint="eastAsia" w:ascii="仿宋" w:hAnsi="仿宋" w:eastAsia="仿宋" w:cs="宋体"/>
          <w:spacing w:val="-6"/>
          <w:kern w:val="0"/>
          <w:sz w:val="32"/>
          <w:szCs w:val="32"/>
          <w:lang w:bidi="ar"/>
        </w:rPr>
        <w:t>（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2</w:t>
      </w:r>
      <w:r>
        <w:rPr>
          <w:rFonts w:hint="eastAsia" w:ascii="仿宋" w:hAnsi="仿宋" w:eastAsia="仿宋" w:cs="宋体"/>
          <w:spacing w:val="-6"/>
          <w:kern w:val="0"/>
          <w:sz w:val="32"/>
          <w:szCs w:val="32"/>
          <w:lang w:bidi="ar"/>
        </w:rPr>
        <w:t>）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学校组织的各种科研训练主要参与者；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hint="eastAsia" w:ascii="仿宋" w:hAnsi="仿宋" w:eastAsia="仿宋" w:cs="宋体"/>
          <w:spacing w:val="-6"/>
          <w:kern w:val="0"/>
          <w:sz w:val="32"/>
          <w:szCs w:val="32"/>
          <w:lang w:bidi="ar"/>
        </w:rPr>
        <w:t>（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3</w:t>
      </w:r>
      <w:r>
        <w:rPr>
          <w:rFonts w:hint="eastAsia" w:ascii="仿宋" w:hAnsi="仿宋" w:eastAsia="仿宋" w:cs="宋体"/>
          <w:spacing w:val="-6"/>
          <w:kern w:val="0"/>
          <w:sz w:val="32"/>
          <w:szCs w:val="32"/>
          <w:lang w:bidi="ar"/>
        </w:rPr>
        <w:t>）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在校期间创办并实际运营企业者；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hint="eastAsia" w:ascii="仿宋" w:hAnsi="仿宋" w:eastAsia="仿宋" w:cs="宋体"/>
          <w:spacing w:val="-6"/>
          <w:kern w:val="0"/>
          <w:sz w:val="32"/>
          <w:szCs w:val="32"/>
          <w:lang w:bidi="ar"/>
        </w:rPr>
        <w:t>（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4</w:t>
      </w:r>
      <w:r>
        <w:rPr>
          <w:rFonts w:hint="eastAsia" w:ascii="仿宋" w:hAnsi="仿宋" w:eastAsia="仿宋" w:cs="宋体"/>
          <w:spacing w:val="-6"/>
          <w:kern w:val="0"/>
          <w:sz w:val="32"/>
          <w:szCs w:val="32"/>
          <w:lang w:bidi="ar"/>
        </w:rPr>
        <w:t>）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有家族企业背景，并有强烈创业意愿者。</w:t>
      </w:r>
    </w:p>
    <w:p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hAnsi="仿宋" w:eastAsia="仿宋" w:cs="Times New Roman"/>
          <w:szCs w:val="24"/>
        </w:rPr>
      </w:pPr>
      <w:r>
        <w:rPr>
          <w:rFonts w:hint="eastAsia" w:ascii="仿宋" w:hAnsi="仿宋" w:eastAsia="仿宋" w:cs="宋体"/>
          <w:b/>
          <w:spacing w:val="-6"/>
          <w:kern w:val="0"/>
          <w:sz w:val="32"/>
          <w:szCs w:val="32"/>
          <w:lang w:bidi="ar"/>
        </w:rPr>
        <w:t>3</w:t>
      </w:r>
      <w:r>
        <w:rPr>
          <w:rFonts w:ascii="仿宋" w:hAnsi="仿宋" w:eastAsia="仿宋" w:cs="宋体"/>
          <w:b/>
          <w:spacing w:val="-6"/>
          <w:kern w:val="0"/>
          <w:sz w:val="32"/>
          <w:szCs w:val="32"/>
          <w:lang w:bidi="ar"/>
        </w:rPr>
        <w:t>.报名选拔程序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</w:pP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5月</w:t>
      </w:r>
      <w:r>
        <w:rPr>
          <w:rFonts w:hint="eastAsia" w:ascii="仿宋" w:hAnsi="仿宋" w:eastAsia="仿宋" w:cs="宋体"/>
          <w:spacing w:val="-6"/>
          <w:kern w:val="0"/>
          <w:sz w:val="32"/>
          <w:szCs w:val="32"/>
          <w:lang w:val="en-US" w:eastAsia="zh-CN" w:bidi="ar"/>
        </w:rPr>
        <w:t>17</w:t>
      </w:r>
      <w:bookmarkStart w:id="0" w:name="_GoBack"/>
      <w:bookmarkEnd w:id="0"/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日至5月</w:t>
      </w:r>
      <w:r>
        <w:rPr>
          <w:rFonts w:hint="eastAsia" w:ascii="仿宋" w:hAnsi="仿宋" w:eastAsia="仿宋" w:cs="宋体"/>
          <w:spacing w:val="-6"/>
          <w:kern w:val="0"/>
          <w:sz w:val="32"/>
          <w:szCs w:val="32"/>
          <w:lang w:val="en-US" w:eastAsia="zh-CN" w:bidi="ar"/>
        </w:rPr>
        <w:t>19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日，申请修读远志创业实验班的学生进行网上报名申请（登录教务</w:t>
      </w:r>
      <w:r>
        <w:rPr>
          <w:rFonts w:hint="eastAsia" w:ascii="仿宋" w:hAnsi="仿宋" w:eastAsia="仿宋" w:cs="宋体"/>
          <w:spacing w:val="-6"/>
          <w:kern w:val="0"/>
          <w:sz w:val="32"/>
          <w:szCs w:val="32"/>
          <w:lang w:bidi="ar"/>
        </w:rPr>
        <w:t>处“本科教学管理系统”点击“辅修申请”），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每位学生最多可以报名两个顺序志愿（远志创业实验班须为第一志愿，第二志愿可报名其他辅修专业），于5月</w:t>
      </w:r>
      <w:r>
        <w:rPr>
          <w:rFonts w:hint="eastAsia" w:ascii="仿宋" w:hAnsi="仿宋" w:eastAsia="仿宋" w:cs="宋体"/>
          <w:spacing w:val="-6"/>
          <w:kern w:val="0"/>
          <w:sz w:val="32"/>
          <w:szCs w:val="32"/>
          <w:lang w:val="en-US" w:eastAsia="zh-CN" w:bidi="ar"/>
        </w:rPr>
        <w:t>19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日（含）前在系统确认申请结果，并将《福州大学本科学生辅修专业申请表》、《福州大学远志创业实验班申请表》以及相应附件材料的电子版打包发送至主修专业所在学院教</w:t>
      </w: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学办，相应纸质材料</w:t>
      </w:r>
      <w:r>
        <w:rPr>
          <w:rFonts w:hint="eastAsia" w:ascii="仿宋" w:hAnsi="仿宋" w:eastAsia="仿宋" w:cs="宋体"/>
          <w:color w:val="000000" w:themeColor="text1"/>
          <w:spacing w:val="-6"/>
          <w:kern w:val="0"/>
          <w:sz w:val="32"/>
          <w:szCs w:val="32"/>
          <w:lang w:eastAsia="zh-CN" w:bidi="ar"/>
          <w14:textFill>
            <w14:solidFill>
              <w14:schemeClr w14:val="tx1"/>
            </w14:solidFill>
          </w14:textFill>
        </w:rPr>
        <w:t>在</w:t>
      </w:r>
      <w:r>
        <w:rPr>
          <w:rFonts w:hint="eastAsia" w:ascii="仿宋" w:hAnsi="仿宋" w:eastAsia="仿宋" w:cs="宋体"/>
          <w:color w:val="000000" w:themeColor="text1"/>
          <w:spacing w:val="-6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5月22日前</w:t>
      </w: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交至主修学院教学办。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</w:pP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5月</w:t>
      </w:r>
      <w:r>
        <w:rPr>
          <w:rFonts w:hint="eastAsia" w:ascii="仿宋" w:hAnsi="仿宋" w:eastAsia="仿宋" w:cs="宋体"/>
          <w:color w:val="000000" w:themeColor="text1"/>
          <w:spacing w:val="-6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17</w:t>
      </w: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日</w:t>
      </w:r>
      <w:r>
        <w:rPr>
          <w:rFonts w:hint="eastAsia" w:ascii="仿宋" w:hAnsi="仿宋" w:eastAsia="仿宋" w:cs="宋体"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晚上</w:t>
      </w:r>
      <w:r>
        <w:rPr>
          <w:rFonts w:hint="eastAsia" w:ascii="仿宋" w:hAnsi="仿宋" w:eastAsia="仿宋" w:cs="宋体"/>
          <w:color w:val="000000" w:themeColor="text1"/>
          <w:spacing w:val="-6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8:30</w:t>
      </w: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，通过腾讯会议进行线上招生咨询，</w:t>
      </w:r>
      <w:r>
        <w:rPr>
          <w:rFonts w:hint="eastAsia" w:ascii="仿宋" w:hAnsi="仿宋" w:eastAsia="仿宋" w:cs="宋体"/>
          <w:color w:val="000000" w:themeColor="text1"/>
          <w:spacing w:val="-6"/>
          <w:kern w:val="0"/>
          <w:sz w:val="32"/>
          <w:szCs w:val="32"/>
          <w:lang w:eastAsia="zh-CN" w:bidi="ar"/>
          <w14:textFill>
            <w14:solidFill>
              <w14:schemeClr w14:val="tx1"/>
            </w14:solidFill>
          </w14:textFill>
        </w:rPr>
        <w:t>腾讯</w:t>
      </w: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会议ID：</w:t>
      </w:r>
      <w:r>
        <w:rPr>
          <w:rFonts w:hint="eastAsia" w:ascii="仿宋" w:hAnsi="仿宋" w:eastAsia="仿宋" w:cs="宋体"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704-920-681</w:t>
      </w:r>
      <w:r>
        <w:rPr>
          <w:rFonts w:hint="eastAsia" w:ascii="仿宋" w:hAnsi="仿宋" w:eastAsia="仿宋" w:cs="宋体"/>
          <w:color w:val="000000" w:themeColor="text1"/>
          <w:spacing w:val="-6"/>
          <w:kern w:val="0"/>
          <w:sz w:val="32"/>
          <w:szCs w:val="32"/>
          <w:lang w:eastAsia="zh-CN" w:bidi="ar"/>
          <w14:textFill>
            <w14:solidFill>
              <w14:schemeClr w14:val="tx1"/>
            </w14:solidFill>
          </w14:textFill>
        </w:rPr>
        <w:t>，欢迎有意向的同学登陆会议咨询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。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</w:pP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5月</w:t>
      </w:r>
      <w:r>
        <w:rPr>
          <w:rFonts w:hint="eastAsia" w:ascii="仿宋" w:hAnsi="仿宋" w:eastAsia="仿宋" w:cs="宋体"/>
          <w:spacing w:val="-6"/>
          <w:kern w:val="0"/>
          <w:sz w:val="32"/>
          <w:szCs w:val="32"/>
          <w:lang w:val="en-US" w:eastAsia="zh-CN" w:bidi="ar"/>
        </w:rPr>
        <w:t>20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日至5月</w:t>
      </w:r>
      <w:r>
        <w:rPr>
          <w:rFonts w:hint="eastAsia" w:ascii="仿宋" w:hAnsi="仿宋" w:eastAsia="仿宋" w:cs="宋体"/>
          <w:spacing w:val="-6"/>
          <w:kern w:val="0"/>
          <w:sz w:val="32"/>
          <w:szCs w:val="32"/>
          <w:lang w:val="en-US" w:eastAsia="zh-CN" w:bidi="ar"/>
        </w:rPr>
        <w:t>22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日，主修专业学院对申请进行审核，将审核结果录入系统，并将审核通过的名单汇总表及相关附件材料发送至经管学院教学办。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</w:pP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5月</w:t>
      </w:r>
      <w:r>
        <w:rPr>
          <w:rFonts w:hint="eastAsia" w:ascii="仿宋" w:hAnsi="仿宋" w:eastAsia="仿宋" w:cs="宋体"/>
          <w:color w:val="000000" w:themeColor="text1"/>
          <w:spacing w:val="-6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24</w:t>
      </w: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日至5月</w:t>
      </w:r>
      <w:r>
        <w:rPr>
          <w:rFonts w:hint="eastAsia" w:ascii="仿宋" w:hAnsi="仿宋" w:eastAsia="仿宋" w:cs="宋体"/>
          <w:color w:val="000000" w:themeColor="text1"/>
          <w:spacing w:val="-6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>30</w:t>
      </w:r>
      <w:r>
        <w:rPr>
          <w:rFonts w:ascii="仿宋" w:hAnsi="仿宋" w:eastAsia="仿宋" w:cs="宋体"/>
          <w:color w:val="000000" w:themeColor="text1"/>
          <w:spacing w:val="-6"/>
          <w:kern w:val="0"/>
          <w:sz w:val="32"/>
          <w:szCs w:val="32"/>
          <w:lang w:bidi="ar"/>
          <w14:textFill>
            <w14:solidFill>
              <w14:schemeClr w14:val="tx1"/>
            </w14:solidFill>
          </w14:textFill>
        </w:rPr>
        <w:t>日，经管学院根据学生报名申请情况，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组织评审小组进行材料审核，择优选拔确定远志创业实验班入选学生名单，将审核结果录入系统。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</w:pP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6月</w:t>
      </w:r>
      <w:r>
        <w:rPr>
          <w:rFonts w:hint="eastAsia" w:ascii="仿宋" w:hAnsi="仿宋" w:eastAsia="仿宋" w:cs="宋体"/>
          <w:spacing w:val="-6"/>
          <w:kern w:val="0"/>
          <w:sz w:val="32"/>
          <w:szCs w:val="32"/>
          <w:lang w:bidi="ar"/>
        </w:rPr>
        <w:t>3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日-6月</w:t>
      </w:r>
      <w:r>
        <w:rPr>
          <w:rFonts w:hint="eastAsia" w:ascii="仿宋" w:hAnsi="仿宋" w:eastAsia="仿宋" w:cs="宋体"/>
          <w:spacing w:val="-6"/>
          <w:kern w:val="0"/>
          <w:sz w:val="32"/>
          <w:szCs w:val="32"/>
          <w:lang w:val="en-US" w:eastAsia="zh-CN" w:bidi="ar"/>
        </w:rPr>
        <w:t>7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日，教务处最后审核并公示入选远志创业实验班的学生名单，在公示期结束后发文公布入选名单。</w:t>
      </w:r>
    </w:p>
    <w:p>
      <w:pPr>
        <w:widowControl/>
        <w:adjustRightInd w:val="0"/>
        <w:snapToGrid w:val="0"/>
        <w:spacing w:line="360" w:lineRule="auto"/>
        <w:ind w:firstLine="618"/>
        <w:jc w:val="left"/>
        <w:rPr>
          <w:rFonts w:ascii="仿宋" w:hAnsi="仿宋" w:eastAsia="仿宋" w:cs="Times New Roman"/>
          <w:szCs w:val="24"/>
        </w:rPr>
      </w:pPr>
      <w:r>
        <w:rPr>
          <w:rFonts w:hint="eastAsia" w:ascii="仿宋" w:hAnsi="仿宋" w:eastAsia="仿宋" w:cs="宋体"/>
          <w:b/>
          <w:spacing w:val="-6"/>
          <w:kern w:val="0"/>
          <w:sz w:val="32"/>
          <w:szCs w:val="32"/>
          <w:lang w:bidi="ar"/>
        </w:rPr>
        <w:t>4</w:t>
      </w:r>
      <w:r>
        <w:rPr>
          <w:rFonts w:ascii="仿宋" w:hAnsi="仿宋" w:eastAsia="仿宋" w:cs="宋体"/>
          <w:b/>
          <w:spacing w:val="-6"/>
          <w:kern w:val="0"/>
          <w:sz w:val="32"/>
          <w:szCs w:val="32"/>
          <w:lang w:bidi="ar"/>
        </w:rPr>
        <w:t>.选课与缴费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(1)公布名单之后，入选学生根据创业实验班培养方案要求在网上进行选课（具体时间请关注辅修专业网上选课通知）。</w:t>
      </w:r>
    </w:p>
    <w:p>
      <w:pPr>
        <w:widowControl/>
        <w:adjustRightInd w:val="0"/>
        <w:snapToGrid w:val="0"/>
        <w:spacing w:line="360" w:lineRule="auto"/>
        <w:ind w:firstLine="616"/>
        <w:jc w:val="left"/>
        <w:rPr>
          <w:rFonts w:ascii="仿宋" w:hAnsi="仿宋" w:eastAsia="仿宋" w:cs="Times New Roman"/>
          <w:szCs w:val="24"/>
        </w:rPr>
      </w:pP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(2)</w:t>
      </w:r>
      <w:r>
        <w:rPr>
          <w:rFonts w:hint="eastAsia" w:ascii="仿宋" w:hAnsi="仿宋" w:eastAsia="仿宋" w:cs="宋体"/>
          <w:spacing w:val="-6"/>
          <w:kern w:val="0"/>
          <w:sz w:val="32"/>
          <w:szCs w:val="32"/>
          <w:lang w:bidi="ar"/>
        </w:rPr>
        <w:t>总学分45学分，学生所修读课程需按辅修专业管理办法缴纳学费。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远志创业实验班实行网上缴费，学生根据选课情况，按所选课程学分进行网上缴费，超时间逾期未缴费者，选课无效。收费标准： 121元/学分（根据学校文件福大财</w:t>
      </w:r>
      <w:r>
        <w:rPr>
          <w:rFonts w:hint="eastAsia" w:ascii="仿宋" w:hAnsi="仿宋" w:eastAsia="仿宋" w:cs="宋体"/>
          <w:spacing w:val="-6"/>
          <w:kern w:val="0"/>
          <w:sz w:val="32"/>
          <w:szCs w:val="32"/>
          <w:lang w:bidi="ar"/>
        </w:rPr>
        <w:t>〔20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09</w:t>
      </w:r>
      <w:r>
        <w:rPr>
          <w:rFonts w:hint="eastAsia" w:ascii="仿宋" w:hAnsi="仿宋" w:eastAsia="仿宋" w:cs="宋体"/>
          <w:spacing w:val="-6"/>
          <w:kern w:val="0"/>
          <w:sz w:val="32"/>
          <w:szCs w:val="32"/>
          <w:lang w:bidi="ar"/>
        </w:rPr>
        <w:t>〕</w:t>
      </w:r>
      <w:r>
        <w:rPr>
          <w:rFonts w:ascii="仿宋" w:hAnsi="仿宋" w:eastAsia="仿宋" w:cs="宋体"/>
          <w:spacing w:val="-6"/>
          <w:kern w:val="0"/>
          <w:sz w:val="32"/>
          <w:szCs w:val="32"/>
          <w:lang w:bidi="ar"/>
        </w:rPr>
        <w:t>1号文件执行）。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RmNzk1MmUwYzM5NjEzODI4OGM0YTFkMzM1NmViNjYifQ=="/>
  </w:docVars>
  <w:rsids>
    <w:rsidRoot w:val="00614EB5"/>
    <w:rsid w:val="000007A6"/>
    <w:rsid w:val="0003131F"/>
    <w:rsid w:val="00043116"/>
    <w:rsid w:val="000673DD"/>
    <w:rsid w:val="0007095F"/>
    <w:rsid w:val="000720CF"/>
    <w:rsid w:val="00091F2E"/>
    <w:rsid w:val="000D4AAE"/>
    <w:rsid w:val="00113DE8"/>
    <w:rsid w:val="00114BA6"/>
    <w:rsid w:val="00155BC2"/>
    <w:rsid w:val="00165FAA"/>
    <w:rsid w:val="001726D3"/>
    <w:rsid w:val="001B69B4"/>
    <w:rsid w:val="00232D46"/>
    <w:rsid w:val="00245F01"/>
    <w:rsid w:val="00286B84"/>
    <w:rsid w:val="00347517"/>
    <w:rsid w:val="00347705"/>
    <w:rsid w:val="00407744"/>
    <w:rsid w:val="004318A0"/>
    <w:rsid w:val="00577614"/>
    <w:rsid w:val="005E604F"/>
    <w:rsid w:val="00614EB5"/>
    <w:rsid w:val="006414E7"/>
    <w:rsid w:val="006C0EED"/>
    <w:rsid w:val="006D6004"/>
    <w:rsid w:val="007735DF"/>
    <w:rsid w:val="007860F8"/>
    <w:rsid w:val="007A4B87"/>
    <w:rsid w:val="00813D0D"/>
    <w:rsid w:val="00826324"/>
    <w:rsid w:val="00842906"/>
    <w:rsid w:val="00990024"/>
    <w:rsid w:val="009A55A7"/>
    <w:rsid w:val="009A69E7"/>
    <w:rsid w:val="00A00081"/>
    <w:rsid w:val="00A02C39"/>
    <w:rsid w:val="00A23CEB"/>
    <w:rsid w:val="00A867D3"/>
    <w:rsid w:val="00AF5E3A"/>
    <w:rsid w:val="00B10E6B"/>
    <w:rsid w:val="00B60DCC"/>
    <w:rsid w:val="00BD62F1"/>
    <w:rsid w:val="00C3323D"/>
    <w:rsid w:val="00CE08B5"/>
    <w:rsid w:val="00D57A3B"/>
    <w:rsid w:val="00DC4BA1"/>
    <w:rsid w:val="00DD0544"/>
    <w:rsid w:val="00DE7839"/>
    <w:rsid w:val="00E353EA"/>
    <w:rsid w:val="00E95C05"/>
    <w:rsid w:val="00EE7D3E"/>
    <w:rsid w:val="00EF19CB"/>
    <w:rsid w:val="00F2359D"/>
    <w:rsid w:val="00F4147C"/>
    <w:rsid w:val="00F85019"/>
    <w:rsid w:val="00FB072C"/>
    <w:rsid w:val="00FE3CAD"/>
    <w:rsid w:val="0262740D"/>
    <w:rsid w:val="05171224"/>
    <w:rsid w:val="053F393E"/>
    <w:rsid w:val="05793C8D"/>
    <w:rsid w:val="067B24DF"/>
    <w:rsid w:val="09CA2D09"/>
    <w:rsid w:val="0A9A09B2"/>
    <w:rsid w:val="0AA12071"/>
    <w:rsid w:val="0AD007F3"/>
    <w:rsid w:val="0AE0732E"/>
    <w:rsid w:val="0B3D750A"/>
    <w:rsid w:val="0B5D73ED"/>
    <w:rsid w:val="0CF864DD"/>
    <w:rsid w:val="13A25FCD"/>
    <w:rsid w:val="13C407C9"/>
    <w:rsid w:val="14123784"/>
    <w:rsid w:val="14300EAC"/>
    <w:rsid w:val="167A5FA7"/>
    <w:rsid w:val="191D4C39"/>
    <w:rsid w:val="1BEF40DF"/>
    <w:rsid w:val="1DF0665E"/>
    <w:rsid w:val="1F0F3094"/>
    <w:rsid w:val="24D61B1B"/>
    <w:rsid w:val="26EB6A45"/>
    <w:rsid w:val="2902118B"/>
    <w:rsid w:val="29033386"/>
    <w:rsid w:val="2A023EE6"/>
    <w:rsid w:val="2BF92F88"/>
    <w:rsid w:val="2C6F6FF8"/>
    <w:rsid w:val="2CB43679"/>
    <w:rsid w:val="2E41718E"/>
    <w:rsid w:val="2E7605E1"/>
    <w:rsid w:val="3143321D"/>
    <w:rsid w:val="31644E4D"/>
    <w:rsid w:val="332826CA"/>
    <w:rsid w:val="35F25A2A"/>
    <w:rsid w:val="38CF2EE1"/>
    <w:rsid w:val="38FB3B61"/>
    <w:rsid w:val="3A2B16AE"/>
    <w:rsid w:val="3DAD0A4C"/>
    <w:rsid w:val="3F511DF3"/>
    <w:rsid w:val="3F8F3AD1"/>
    <w:rsid w:val="4067711D"/>
    <w:rsid w:val="419E7FFC"/>
    <w:rsid w:val="46841EB6"/>
    <w:rsid w:val="47941C85"/>
    <w:rsid w:val="48324F29"/>
    <w:rsid w:val="5255074B"/>
    <w:rsid w:val="52710791"/>
    <w:rsid w:val="56B25CC2"/>
    <w:rsid w:val="58D57DC2"/>
    <w:rsid w:val="596C096E"/>
    <w:rsid w:val="5ECF519E"/>
    <w:rsid w:val="601260A9"/>
    <w:rsid w:val="62947140"/>
    <w:rsid w:val="632E3791"/>
    <w:rsid w:val="63316ACA"/>
    <w:rsid w:val="63FA5FE0"/>
    <w:rsid w:val="672B78DD"/>
    <w:rsid w:val="687F015B"/>
    <w:rsid w:val="68E41039"/>
    <w:rsid w:val="69C8119F"/>
    <w:rsid w:val="6A2151A2"/>
    <w:rsid w:val="6DC05D8D"/>
    <w:rsid w:val="6E8659A7"/>
    <w:rsid w:val="70AB5CA4"/>
    <w:rsid w:val="72AD022C"/>
    <w:rsid w:val="735175A5"/>
    <w:rsid w:val="741D3D69"/>
    <w:rsid w:val="74E10D62"/>
    <w:rsid w:val="75B443BF"/>
    <w:rsid w:val="76564426"/>
    <w:rsid w:val="76820AEE"/>
    <w:rsid w:val="78F23295"/>
    <w:rsid w:val="7A9339CA"/>
    <w:rsid w:val="7CF95B0B"/>
    <w:rsid w:val="7EC47425"/>
    <w:rsid w:val="7EF7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字符"/>
    <w:basedOn w:val="7"/>
    <w:link w:val="2"/>
    <w:semiHidden/>
    <w:qFormat/>
    <w:uiPriority w:val="99"/>
    <w:rPr>
      <w:kern w:val="2"/>
      <w:sz w:val="18"/>
      <w:szCs w:val="18"/>
    </w:rPr>
  </w:style>
  <w:style w:type="paragraph" w:styleId="12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8</Pages>
  <Words>3427</Words>
  <Characters>3564</Characters>
  <Lines>27</Lines>
  <Paragraphs>7</Paragraphs>
  <TotalTime>14</TotalTime>
  <ScaleCrop>false</ScaleCrop>
  <LinksUpToDate>false</LinksUpToDate>
  <CharactersWithSpaces>3616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2022-05-10T02:33:00Z</dcterms:created>
  <dc:creator>匿名用户</dc:creator>
  <cp:lastModifiedBy>张力先</cp:lastModifiedBy>
  <cp:lastPrinted>2024-05-17T01:35:00Z</cp:lastPrinted>
  <dcterms:modified xsi:type="dcterms:W3CDTF">2024-05-17T01:38:14Z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D02DB53D06AB4B57B806C45047BEBC42_13</vt:lpwstr>
  </property>
</Properties>
</file>