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黑体" w:hAnsi="黑体" w:eastAsia="黑体" w:cs="黑体"/>
          <w:color w:val="000000"/>
          <w:szCs w:val="32"/>
        </w:rPr>
      </w:pPr>
      <w:r>
        <w:rPr>
          <w:rFonts w:hint="eastAsia" w:ascii="黑体" w:hAnsi="黑体" w:eastAsia="黑体" w:cs="黑体"/>
          <w:color w:val="000000"/>
          <w:szCs w:val="32"/>
        </w:rPr>
        <w:t>附件</w:t>
      </w:r>
      <w:r>
        <w:rPr>
          <w:rFonts w:ascii="黑体" w:hAnsi="黑体" w:eastAsia="黑体" w:cs="黑体"/>
          <w:color w:val="000000"/>
          <w:szCs w:val="32"/>
        </w:rPr>
        <w:t>1</w:t>
      </w:r>
    </w:p>
    <w:p>
      <w:pPr>
        <w:spacing w:line="560" w:lineRule="exact"/>
        <w:rPr>
          <w:rFonts w:ascii="黑体" w:hAnsi="黑体" w:eastAsia="黑体" w:cs="黑体"/>
          <w:color w:val="000000"/>
          <w:szCs w:val="32"/>
        </w:rPr>
      </w:pPr>
    </w:p>
    <w:p>
      <w:pPr>
        <w:spacing w:line="447" w:lineRule="exact"/>
        <w:jc w:val="center"/>
        <w:rPr>
          <w:rFonts w:cs="方正小标宋简体" w:asciiTheme="minorEastAsia" w:hAnsiTheme="minorEastAsia" w:eastAsiaTheme="minorEastAsia"/>
          <w:b/>
          <w:color w:val="000000"/>
          <w:sz w:val="44"/>
          <w:szCs w:val="44"/>
        </w:rPr>
      </w:pPr>
      <w:r>
        <w:rPr>
          <w:rFonts w:hint="eastAsia" w:cs="方正小标宋简体" w:asciiTheme="minorEastAsia" w:hAnsiTheme="minorEastAsia" w:eastAsiaTheme="minorEastAsia"/>
          <w:b/>
          <w:color w:val="000000"/>
          <w:sz w:val="44"/>
          <w:szCs w:val="44"/>
        </w:rPr>
        <w:t>202</w:t>
      </w:r>
      <w:r>
        <w:rPr>
          <w:rFonts w:cs="方正小标宋简体" w:asciiTheme="minorEastAsia" w:hAnsiTheme="minorEastAsia" w:eastAsiaTheme="minorEastAsia"/>
          <w:b/>
          <w:color w:val="000000"/>
          <w:sz w:val="44"/>
          <w:szCs w:val="44"/>
        </w:rPr>
        <w:t>3</w:t>
      </w:r>
      <w:r>
        <w:rPr>
          <w:rFonts w:hint="eastAsia" w:cs="方正小标宋简体" w:asciiTheme="minorEastAsia" w:hAnsiTheme="minorEastAsia" w:eastAsiaTheme="minorEastAsia"/>
          <w:b/>
          <w:color w:val="000000"/>
          <w:sz w:val="44"/>
          <w:szCs w:val="44"/>
        </w:rPr>
        <w:t>年省级一流本科课程申报说明</w:t>
      </w:r>
    </w:p>
    <w:p>
      <w:pPr>
        <w:rPr>
          <w:rFonts w:ascii="黑体" w:hAnsi="黑体" w:eastAsia="黑体" w:cs="黑体"/>
          <w:color w:val="000000"/>
          <w:sz w:val="36"/>
          <w:szCs w:val="36"/>
        </w:rPr>
      </w:pPr>
    </w:p>
    <w:p>
      <w:pPr>
        <w:pStyle w:val="3"/>
        <w:spacing w:line="560" w:lineRule="exact"/>
        <w:ind w:left="760" w:firstLine="0"/>
        <w:rPr>
          <w:rFonts w:ascii="黑体" w:hAnsi="黑体" w:eastAsia="黑体" w:cs="黑体"/>
          <w:color w:val="000000"/>
        </w:rPr>
      </w:pPr>
      <w:r>
        <w:rPr>
          <w:rFonts w:ascii="黑体" w:hAnsi="黑体" w:eastAsia="黑体" w:cs="黑体"/>
          <w:color w:val="000000"/>
        </w:rPr>
        <w:t>一、线上一流</w:t>
      </w:r>
      <w:r>
        <w:rPr>
          <w:rFonts w:hint="eastAsia" w:ascii="黑体" w:hAnsi="黑体" w:eastAsia="黑体" w:cs="黑体"/>
          <w:color w:val="000000"/>
        </w:rPr>
        <w:t>本科</w:t>
      </w:r>
      <w:r>
        <w:rPr>
          <w:rFonts w:ascii="黑体" w:hAnsi="黑体" w:eastAsia="黑体" w:cs="黑体"/>
          <w:color w:val="000000"/>
        </w:rPr>
        <w:t>课程</w:t>
      </w:r>
    </w:p>
    <w:p>
      <w:pPr>
        <w:pStyle w:val="2"/>
        <w:spacing w:before="0" w:line="560" w:lineRule="exact"/>
        <w:ind w:left="0" w:firstLine="643" w:firstLineChars="200"/>
        <w:rPr>
          <w:color w:val="000000"/>
        </w:rPr>
      </w:pPr>
      <w:r>
        <w:rPr>
          <w:color w:val="000000"/>
        </w:rPr>
        <w:t>（一）认定</w:t>
      </w:r>
      <w:r>
        <w:rPr>
          <w:rFonts w:hint="eastAsia"/>
          <w:color w:val="000000"/>
        </w:rPr>
        <w:t>数额</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1.本次拟认定50门左右省级线上一流本科课程。</w:t>
      </w:r>
    </w:p>
    <w:p>
      <w:pPr>
        <w:pStyle w:val="3"/>
        <w:spacing w:line="560" w:lineRule="exact"/>
        <w:ind w:right="117"/>
        <w:rPr>
          <w:rFonts w:hint="eastAsia" w:ascii="Times New Roman" w:hAnsi="Times New Roman" w:cs="Arial"/>
          <w:color w:val="000000"/>
        </w:rPr>
      </w:pPr>
      <w:r>
        <w:rPr>
          <w:rFonts w:hint="eastAsia" w:ascii="Times New Roman" w:hAnsi="Times New Roman" w:cs="Arial"/>
          <w:color w:val="000000"/>
        </w:rPr>
        <w:t>2.申报课程须经过2个学期或教学周期实践检验，且具有可追溯的学生在线学习记录。为推动课程持续完善、提升质量，确保每期课程有修改完善时间和完整的教学周期，申报课程第一期上线开课时间不得晚</w:t>
      </w:r>
      <w:r>
        <w:rPr>
          <w:rFonts w:hint="eastAsia" w:ascii="Times New Roman" w:hAnsi="Times New Roman" w:cs="Arial"/>
          <w:color w:val="000000"/>
        </w:rPr>
        <w:t>于2022年6月30日。</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3.不具备大规模在线开放课程特征的课程，如视频公开课和资源共享课，仅对本校或少数高校学生开放的小规模专属在线课程（SPOC）和应用于非全日制学生的网络教育课程，以及无完整教学过程和教学活动的在线课程等，不在认定范围。</w:t>
      </w:r>
    </w:p>
    <w:p>
      <w:pPr>
        <w:pStyle w:val="2"/>
        <w:spacing w:before="0" w:line="560" w:lineRule="exact"/>
        <w:ind w:left="0" w:firstLine="643" w:firstLineChars="200"/>
        <w:rPr>
          <w:color w:val="000000"/>
        </w:rPr>
      </w:pPr>
      <w:r>
        <w:rPr>
          <w:rFonts w:hint="eastAsia"/>
          <w:color w:val="000000"/>
        </w:rPr>
        <w:t>（二）申报条件</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1.课程负责人须为申报高校正式聘用的教师。申报的团队主要成员须为平台显示授课教师。</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2.课程具有大规模在线开放课程教学特征：开放、共享，有必要的教学支持服务。课程构建体现信息技术与教育教学深度融合的课程结构和教学组织模式，课程知识体系科学，资源配置、考核评价方式合理，适合在线学习和混合式教学应用。课程定位准确，特色鲜明，在授课对象、教学内容、教学设计、教学方法等方面与往年认定的同类课程有明显差别。无危害国家安全、涉密及其他不适宜网络公开传播的内容，无侵犯他人知识产权内容。</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3.通过课程平台，课程提供在线测验、作业、考试、答疑、讨论等教学活动，教学团队及时开展在线指导与测评，按时评定成绩。各项教学活动完整、有效，按计划实施。学习者在线学习响应度高，师生互动充分，能有效促进师生之间、学生之间进行资源共享、互动交流和自主式与协作式学习。</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4.课程已在本校应用于在线教学和混合式教学，教学效果良好，教改有特色；依托高校和社会学习者中共享范围广，应用模式多样，应用效果好，社会影响大，示范引领性强。</w:t>
      </w:r>
    </w:p>
    <w:p>
      <w:pPr>
        <w:pStyle w:val="3"/>
        <w:spacing w:line="560" w:lineRule="exact"/>
        <w:ind w:right="117"/>
        <w:rPr>
          <w:rFonts w:ascii="Times New Roman" w:hAnsi="Times New Roman" w:cs="Arial"/>
          <w:color w:val="000000"/>
        </w:rPr>
      </w:pPr>
      <w:r>
        <w:rPr>
          <w:rFonts w:hint="eastAsia" w:ascii="Times New Roman" w:hAnsi="Times New Roman" w:cs="Arial"/>
          <w:color w:val="000000"/>
        </w:rPr>
        <w:t>5.课程平台须按照《中国互联网管理条例》等规定，完成有关的备案和审批</w:t>
      </w:r>
      <w:r>
        <w:rPr>
          <w:rFonts w:hint="eastAsia" w:ascii="Times New Roman" w:hAnsi="Times New Roman" w:cs="Arial"/>
          <w:color w:val="000000"/>
        </w:rPr>
        <w:t>手续，须至少获得国家信息安全等级保护三级认证。平台运</w:t>
      </w:r>
      <w:bookmarkStart w:id="1" w:name="_GoBack"/>
      <w:bookmarkEnd w:id="1"/>
      <w:r>
        <w:rPr>
          <w:rFonts w:hint="eastAsia" w:ascii="Times New Roman" w:hAnsi="Times New Roman" w:cs="Arial"/>
          <w:color w:val="000000"/>
        </w:rPr>
        <w:t>行安全稳定畅通，课程在线教学支持服务高效。同时，须制定相应的管理制度和工作流程，配备专业人员进行课程审查、教学服务管理和安全保障，确保上线课程内容和制作技术规范，适合网络传播。</w:t>
      </w:r>
    </w:p>
    <w:p>
      <w:pPr>
        <w:pStyle w:val="3"/>
        <w:spacing w:line="560" w:lineRule="exact"/>
        <w:ind w:right="117"/>
        <w:rPr>
          <w:rFonts w:ascii="黑体" w:hAnsi="黑体" w:eastAsia="黑体" w:cs="黑体"/>
          <w:color w:val="000000"/>
        </w:rPr>
      </w:pPr>
      <w:r>
        <w:rPr>
          <w:rFonts w:ascii="黑体" w:hAnsi="黑体" w:eastAsia="黑体" w:cs="黑体"/>
          <w:color w:val="000000"/>
        </w:rPr>
        <w:t>二、线下</w:t>
      </w:r>
      <w:r>
        <w:rPr>
          <w:rFonts w:hint="eastAsia" w:ascii="黑体" w:hAnsi="黑体" w:eastAsia="黑体" w:cs="黑体"/>
          <w:color w:val="000000"/>
        </w:rPr>
        <w:t>一流本科课程</w:t>
      </w:r>
      <w:r>
        <w:rPr>
          <w:rFonts w:ascii="黑体" w:hAnsi="黑体" w:eastAsia="黑体" w:cs="黑体"/>
          <w:color w:val="000000"/>
        </w:rPr>
        <w:t>、线上线下混合式</w:t>
      </w:r>
      <w:r>
        <w:rPr>
          <w:rFonts w:hint="eastAsia" w:ascii="黑体" w:hAnsi="黑体" w:eastAsia="黑体" w:cs="黑体"/>
          <w:color w:val="000000"/>
        </w:rPr>
        <w:t>一流本科课程</w:t>
      </w:r>
    </w:p>
    <w:p>
      <w:pPr>
        <w:pStyle w:val="2"/>
        <w:spacing w:before="0" w:line="560" w:lineRule="exact"/>
        <w:ind w:left="0" w:firstLine="643" w:firstLineChars="200"/>
        <w:rPr>
          <w:color w:val="000000"/>
        </w:rPr>
      </w:pPr>
      <w:bookmarkStart w:id="0" w:name="（一）认定数量"/>
      <w:bookmarkEnd w:id="0"/>
      <w:r>
        <w:rPr>
          <w:rFonts w:hint="eastAsia"/>
          <w:color w:val="000000"/>
        </w:rPr>
        <w:t>（一）认定数额</w:t>
      </w:r>
    </w:p>
    <w:p>
      <w:pPr>
        <w:pStyle w:val="3"/>
        <w:spacing w:line="560" w:lineRule="exact"/>
        <w:ind w:right="117"/>
        <w:rPr>
          <w:color w:val="000000"/>
          <w:spacing w:val="3"/>
          <w:w w:val="95"/>
        </w:rPr>
      </w:pPr>
      <w:r>
        <w:rPr>
          <w:rFonts w:hint="eastAsia" w:ascii="Times New Roman" w:hAnsi="Times New Roman" w:cs="Arial"/>
          <w:color w:val="000000"/>
        </w:rPr>
        <w:t>本次拟认定300门左右线上线下混合式、线下一流本科课程。申报推荐将采取按比例限额方式，两类课程不分别设推荐限额，名额可以统筹使用。</w:t>
      </w:r>
    </w:p>
    <w:p>
      <w:pPr>
        <w:pStyle w:val="2"/>
        <w:spacing w:before="0" w:line="560" w:lineRule="exact"/>
        <w:ind w:left="0" w:firstLine="643" w:firstLineChars="200"/>
        <w:rPr>
          <w:color w:val="000000"/>
        </w:rPr>
      </w:pPr>
      <w:r>
        <w:rPr>
          <w:rFonts w:hint="eastAsia"/>
          <w:color w:val="000000"/>
        </w:rPr>
        <w:t>（二）申报条件</w:t>
      </w:r>
    </w:p>
    <w:p>
      <w:pPr>
        <w:spacing w:line="560" w:lineRule="exact"/>
        <w:ind w:firstLine="640" w:firstLineChars="200"/>
        <w:rPr>
          <w:rFonts w:eastAsia="仿宋" w:cs="Arial"/>
          <w:color w:val="000000"/>
          <w:szCs w:val="32"/>
        </w:rPr>
      </w:pPr>
      <w:r>
        <w:rPr>
          <w:rFonts w:hint="eastAsia" w:eastAsia="仿宋" w:cs="Arial"/>
          <w:color w:val="000000"/>
          <w:szCs w:val="32"/>
        </w:rPr>
        <w:t>1.申报课程须满足《教育部关于一流本科课程建设的实施意见》（教高〔2019〕8 号）文件要求的推荐条件。课程申报信息应与学校教务系统保持一致。</w:t>
      </w:r>
    </w:p>
    <w:p>
      <w:pPr>
        <w:spacing w:line="560" w:lineRule="exact"/>
        <w:ind w:firstLine="640" w:firstLineChars="200"/>
        <w:rPr>
          <w:rFonts w:eastAsia="仿宋" w:cs="Arial"/>
          <w:color w:val="000000"/>
          <w:szCs w:val="32"/>
        </w:rPr>
      </w:pPr>
      <w:r>
        <w:rPr>
          <w:rFonts w:hint="eastAsia" w:eastAsia="仿宋" w:cs="Arial"/>
          <w:color w:val="000000"/>
          <w:szCs w:val="32"/>
        </w:rPr>
        <w:t>2.鼓励两院院士、国家“千人计划”“万人计划”专家、“长江学者奖励计划”入选者、国家杰出青年科学基金获得者、闽江学者等国家级、省级高层次人才，作为课程负责人或主要成员（授课课时不少于总课时的30%）建设名课、核心课程，讲授基础课和专业基础课。</w:t>
      </w:r>
    </w:p>
    <w:p>
      <w:pPr>
        <w:spacing w:line="560" w:lineRule="exact"/>
        <w:ind w:firstLine="640" w:firstLineChars="200"/>
        <w:rPr>
          <w:rFonts w:eastAsia="仿宋" w:cs="Arial"/>
          <w:color w:val="000000"/>
          <w:szCs w:val="32"/>
        </w:rPr>
      </w:pPr>
      <w:r>
        <w:rPr>
          <w:rFonts w:hint="eastAsia" w:eastAsia="仿宋" w:cs="Arial"/>
          <w:color w:val="000000"/>
          <w:szCs w:val="32"/>
        </w:rPr>
        <w:t>3.相比传统面授课程，线下课程应在内容和教学方式方法上与时俱进，注重提升学生综合能力。鼓励线下课程充分 总结新冠肺炎疫情期间线上教学经验成果，有效运用现代信息技术、智慧教室以及线上优质资源开展教学改革。</w:t>
      </w:r>
    </w:p>
    <w:p>
      <w:pPr>
        <w:spacing w:line="560" w:lineRule="exact"/>
        <w:ind w:firstLine="640" w:firstLineChars="200"/>
        <w:rPr>
          <w:rFonts w:eastAsia="仿宋" w:cs="Arial"/>
          <w:color w:val="000000"/>
          <w:szCs w:val="32"/>
        </w:rPr>
      </w:pPr>
      <w:r>
        <w:rPr>
          <w:rFonts w:hint="eastAsia" w:eastAsia="仿宋" w:cs="Arial"/>
          <w:color w:val="000000"/>
          <w:szCs w:val="32"/>
        </w:rPr>
        <w:t>4.线上线下混合式课程应基于慕课、专属在线课程（SPOC）或其他在线课程，合理分配学时，有效利用线上优质资源，并结合线上线下实际开展教学活动，应具有可追溯的学生在线学习记录。大力提倡基于国家级一流线上课程、虚拟仿真实验教学课程，建设线上线下混合式课程。学校应有政策的支持，并在教学管理制度中保障和体现。</w:t>
      </w:r>
    </w:p>
    <w:p>
      <w:pPr>
        <w:pStyle w:val="3"/>
        <w:spacing w:line="560" w:lineRule="exact"/>
        <w:ind w:right="117"/>
        <w:rPr>
          <w:rFonts w:ascii="黑体" w:hAnsi="黑体" w:eastAsia="黑体" w:cs="黑体"/>
          <w:color w:val="000000"/>
          <w:spacing w:val="3"/>
          <w:w w:val="95"/>
        </w:rPr>
      </w:pPr>
      <w:r>
        <w:rPr>
          <w:rFonts w:hint="eastAsia" w:ascii="黑体" w:hAnsi="黑体" w:eastAsia="黑体" w:cs="黑体"/>
          <w:color w:val="000000"/>
          <w:spacing w:val="3"/>
          <w:w w:val="95"/>
        </w:rPr>
        <w:t>三、虚拟仿真实验教学一流本科课程</w:t>
      </w:r>
    </w:p>
    <w:p>
      <w:pPr>
        <w:pStyle w:val="2"/>
        <w:spacing w:before="0" w:line="560" w:lineRule="exact"/>
        <w:ind w:left="0" w:firstLine="643" w:firstLineChars="200"/>
        <w:rPr>
          <w:color w:val="000000"/>
        </w:rPr>
      </w:pPr>
      <w:r>
        <w:rPr>
          <w:rFonts w:hint="eastAsia"/>
          <w:color w:val="000000"/>
        </w:rPr>
        <w:t>（一）认定数额</w:t>
      </w:r>
    </w:p>
    <w:p>
      <w:pPr>
        <w:spacing w:line="560" w:lineRule="exact"/>
        <w:ind w:firstLine="640" w:firstLineChars="200"/>
        <w:rPr>
          <w:rFonts w:cs="Arial"/>
          <w:color w:val="000000"/>
        </w:rPr>
      </w:pPr>
      <w:r>
        <w:rPr>
          <w:rFonts w:hint="eastAsia" w:eastAsia="仿宋" w:cs="Arial"/>
          <w:color w:val="000000"/>
          <w:szCs w:val="32"/>
        </w:rPr>
        <w:t>本次拟认定100门左右省级虚拟仿真实验教学一流本科课程，</w:t>
      </w:r>
      <w:r>
        <w:rPr>
          <w:rFonts w:cs="Arial"/>
          <w:color w:val="000000"/>
        </w:rPr>
        <w:t>不限</w:t>
      </w:r>
      <w:r>
        <w:rPr>
          <w:rFonts w:hint="eastAsia" w:cs="Arial"/>
          <w:color w:val="000000"/>
        </w:rPr>
        <w:t>课程</w:t>
      </w:r>
      <w:r>
        <w:rPr>
          <w:rFonts w:cs="Arial"/>
          <w:color w:val="000000"/>
        </w:rPr>
        <w:t>类别。</w:t>
      </w:r>
    </w:p>
    <w:p>
      <w:pPr>
        <w:pStyle w:val="2"/>
        <w:spacing w:before="0" w:line="560" w:lineRule="exact"/>
        <w:ind w:left="0" w:firstLine="643" w:firstLineChars="200"/>
        <w:rPr>
          <w:color w:val="000000"/>
        </w:rPr>
      </w:pPr>
      <w:r>
        <w:rPr>
          <w:rFonts w:hint="eastAsia"/>
          <w:color w:val="000000"/>
        </w:rPr>
        <w:t>（二）申报条件</w:t>
      </w:r>
    </w:p>
    <w:p>
      <w:pPr>
        <w:pStyle w:val="3"/>
        <w:spacing w:line="560" w:lineRule="exact"/>
        <w:ind w:left="119" w:right="119" w:firstLine="620" w:firstLineChars="200"/>
        <w:rPr>
          <w:rFonts w:ascii="Times New Roman" w:hAnsi="Times New Roman" w:cs="Arial"/>
          <w:color w:val="000000"/>
        </w:rPr>
      </w:pPr>
      <w:r>
        <w:rPr>
          <w:rFonts w:hint="eastAsia"/>
          <w:color w:val="000000"/>
          <w:spacing w:val="3"/>
          <w:w w:val="95"/>
        </w:rPr>
        <w:t>1.申报课程</w:t>
      </w:r>
      <w:r>
        <w:rPr>
          <w:rFonts w:hint="eastAsia" w:ascii="Times New Roman" w:hAnsi="Times New Roman" w:cs="Arial"/>
          <w:color w:val="000000"/>
        </w:rPr>
        <w:t>应满足《教育部办公厅关于开展第二批国家级一流本科课程认定工作的通知》（教高厅函〔2021〕13号）及《第二批国家级一流本科课程申报说明》要求的申报条件。</w:t>
      </w:r>
    </w:p>
    <w:p>
      <w:pPr>
        <w:spacing w:line="560" w:lineRule="exact"/>
        <w:ind w:firstLine="640" w:firstLineChars="200"/>
        <w:rPr>
          <w:rFonts w:eastAsia="仿宋" w:cs="Arial"/>
          <w:color w:val="000000"/>
          <w:szCs w:val="32"/>
        </w:rPr>
      </w:pPr>
      <w:r>
        <w:rPr>
          <w:rFonts w:hint="eastAsia" w:eastAsia="仿宋" w:cs="Arial"/>
          <w:color w:val="000000"/>
          <w:szCs w:val="32"/>
        </w:rPr>
        <w:t>2.虚拟仿真实验教学课程应以学生为中心，采用现代信息技术，研发原理准确、内容紧凑、时长合理、难度适宜的虚拟仿真实验教学内容，具有稳定安全的开放运行模式，支撑学生综合能力培养，至少满足</w:t>
      </w:r>
      <w:r>
        <w:rPr>
          <w:rFonts w:eastAsia="仿宋" w:cs="Arial"/>
          <w:color w:val="000000"/>
          <w:szCs w:val="32"/>
        </w:rPr>
        <w:t>2个课时的实验教学需求，学生实验</w:t>
      </w:r>
      <w:r>
        <w:rPr>
          <w:rFonts w:hint="eastAsia" w:eastAsia="仿宋" w:cs="Arial"/>
          <w:color w:val="000000"/>
          <w:szCs w:val="32"/>
        </w:rPr>
        <w:t>参与的交互性实验操作</w:t>
      </w:r>
      <w:r>
        <w:rPr>
          <w:rFonts w:eastAsia="仿宋" w:cs="Arial"/>
          <w:color w:val="000000"/>
          <w:szCs w:val="32"/>
        </w:rPr>
        <w:t>步骤须不少于10步。</w:t>
      </w:r>
    </w:p>
    <w:p>
      <w:pPr>
        <w:spacing w:line="560" w:lineRule="exact"/>
        <w:ind w:firstLine="640" w:firstLineChars="200"/>
        <w:rPr>
          <w:rFonts w:eastAsia="仿宋" w:cs="Arial"/>
          <w:color w:val="000000"/>
          <w:szCs w:val="32"/>
        </w:rPr>
      </w:pPr>
      <w:r>
        <w:rPr>
          <w:rFonts w:hint="eastAsia" w:eastAsia="仿宋" w:cs="Arial"/>
          <w:color w:val="000000"/>
          <w:szCs w:val="32"/>
        </w:rPr>
        <w:t>3.申报虚拟仿真实验教学一流课程应确保符合相关知识产权法律法规，评审期间可以完全对外公开服务。</w:t>
      </w:r>
    </w:p>
    <w:p>
      <w:pPr>
        <w:spacing w:line="560" w:lineRule="exact"/>
        <w:ind w:firstLine="640" w:firstLineChars="200"/>
        <w:rPr>
          <w:rFonts w:eastAsia="仿宋" w:cs="Arial"/>
          <w:color w:val="000000"/>
          <w:szCs w:val="32"/>
        </w:rPr>
      </w:pPr>
      <w:r>
        <w:rPr>
          <w:rFonts w:hint="eastAsia" w:eastAsia="仿宋" w:cs="Arial"/>
          <w:color w:val="000000"/>
          <w:szCs w:val="32"/>
        </w:rPr>
        <w:t>4</w:t>
      </w:r>
      <w:r>
        <w:rPr>
          <w:rFonts w:eastAsia="仿宋" w:cs="Arial"/>
          <w:color w:val="000000"/>
          <w:szCs w:val="32"/>
        </w:rPr>
        <w:t>.应确保校外互联网网络链接地址直接指向实验项目，且在评审期间链接流畅；应确保所承诺的并发数以内网络实验请求及时响应和对超过并发数的实验请求提供排队提示服务。</w:t>
      </w:r>
    </w:p>
    <w:p>
      <w:pPr>
        <w:spacing w:line="560" w:lineRule="exact"/>
        <w:ind w:firstLine="640" w:firstLineChars="200"/>
        <w:rPr>
          <w:rFonts w:ascii="黑体" w:hAnsi="黑体" w:eastAsia="黑体" w:cs="黑体"/>
          <w:color w:val="000000"/>
          <w:szCs w:val="32"/>
        </w:rPr>
      </w:pPr>
      <w:r>
        <w:rPr>
          <w:rFonts w:hint="eastAsia" w:ascii="黑体" w:hAnsi="黑体" w:eastAsia="黑体" w:cs="黑体"/>
          <w:color w:val="000000"/>
          <w:szCs w:val="32"/>
        </w:rPr>
        <w:t>四、社会实践类课程</w:t>
      </w:r>
    </w:p>
    <w:p>
      <w:pPr>
        <w:pStyle w:val="2"/>
        <w:spacing w:before="0" w:line="560" w:lineRule="exact"/>
        <w:ind w:left="0" w:firstLine="643" w:firstLineChars="200"/>
        <w:rPr>
          <w:color w:val="000000"/>
        </w:rPr>
      </w:pPr>
      <w:r>
        <w:rPr>
          <w:rFonts w:hint="eastAsia"/>
          <w:color w:val="000000"/>
        </w:rPr>
        <w:t>（一）认定数额</w:t>
      </w:r>
    </w:p>
    <w:p>
      <w:pPr>
        <w:spacing w:line="560" w:lineRule="exact"/>
        <w:ind w:left="630"/>
        <w:rPr>
          <w:rFonts w:eastAsia="仿宋" w:cs="Arial"/>
          <w:color w:val="000000"/>
          <w:szCs w:val="32"/>
        </w:rPr>
      </w:pPr>
      <w:r>
        <w:rPr>
          <w:rFonts w:hint="eastAsia" w:eastAsia="仿宋" w:cs="Arial"/>
          <w:color w:val="000000"/>
          <w:szCs w:val="32"/>
        </w:rPr>
        <w:t>本次拟认定80门左右社会实践类一流本科课程。</w:t>
      </w:r>
    </w:p>
    <w:p>
      <w:pPr>
        <w:pStyle w:val="2"/>
        <w:spacing w:before="0" w:line="560" w:lineRule="exact"/>
        <w:ind w:left="0" w:firstLine="643" w:firstLineChars="200"/>
        <w:rPr>
          <w:color w:val="000000"/>
        </w:rPr>
      </w:pPr>
      <w:r>
        <w:rPr>
          <w:rFonts w:hint="eastAsia"/>
          <w:color w:val="000000"/>
        </w:rPr>
        <w:t>（二）申报条件</w:t>
      </w:r>
    </w:p>
    <w:p>
      <w:pPr>
        <w:spacing w:line="560" w:lineRule="exact"/>
        <w:ind w:firstLine="640" w:firstLineChars="200"/>
        <w:rPr>
          <w:rFonts w:eastAsia="仿宋" w:cs="Arial"/>
          <w:color w:val="000000"/>
          <w:szCs w:val="32"/>
        </w:rPr>
      </w:pPr>
      <w:r>
        <w:rPr>
          <w:rFonts w:hint="eastAsia" w:eastAsia="仿宋" w:cs="Arial"/>
          <w:color w:val="000000"/>
          <w:szCs w:val="32"/>
        </w:rPr>
        <w:t>社会实践类课程</w:t>
      </w:r>
      <w:r>
        <w:rPr>
          <w:rFonts w:hint="eastAsia" w:ascii="仿宋_GB2312" w:hAnsi="仿宋_GB2312" w:cs="仿宋_GB2312"/>
          <w:color w:val="000000"/>
          <w:szCs w:val="32"/>
        </w:rPr>
        <w:t>应满足闽三创教指〔2020〕2号文件规定的建设要求。课程应</w:t>
      </w:r>
      <w:r>
        <w:rPr>
          <w:rFonts w:hint="eastAsia" w:eastAsia="仿宋" w:cs="Arial"/>
          <w:color w:val="000000"/>
          <w:szCs w:val="32"/>
        </w:rPr>
        <w:t>为纳入人才培养方案的非实习、非实训课程，配备理论指导教师，具有稳定的实践基地，学生</w:t>
      </w:r>
      <w:r>
        <w:rPr>
          <w:rFonts w:hint="eastAsia" w:ascii="仿宋_GB2312" w:hAnsi="仿宋_GB2312" w:cs="仿宋_GB2312"/>
          <w:color w:val="000000"/>
          <w:szCs w:val="32"/>
        </w:rPr>
        <w:t>70%</w:t>
      </w:r>
      <w:r>
        <w:rPr>
          <w:rFonts w:hint="eastAsia" w:eastAsia="仿宋" w:cs="Arial"/>
          <w:color w:val="000000"/>
          <w:szCs w:val="32"/>
        </w:rPr>
        <w:t>以上学时深入基层。具备以下条件的课程原则上优先推荐：依托“福建省产创融合教育实践示范基地”，结合“互联网+”大学生创新创业大赛、“青年红色筑梦之旅”、创新创业和思想政治理论课社会实践、“双百三级三创”联动等系列活动实施开展的社会实践课程。要不断优化教学设计，培养学生运用所学理论知识认识社会、研究社会、理解社会、服务社会的能力。</w:t>
      </w:r>
    </w:p>
    <w:p>
      <w:pPr>
        <w:spacing w:line="560" w:lineRule="exact"/>
        <w:ind w:firstLine="640" w:firstLineChars="200"/>
        <w:rPr>
          <w:rFonts w:eastAsia="仿宋" w:cs="Arial"/>
          <w:color w:val="000000"/>
          <w:szCs w:val="32"/>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C5EDC2A3-65BB-4F2A-B9C4-05C9D59E678C}"/>
  </w:font>
  <w:font w:name="黑体">
    <w:panose1 w:val="02010609060101010101"/>
    <w:charset w:val="86"/>
    <w:family w:val="auto"/>
    <w:pitch w:val="default"/>
    <w:sig w:usb0="800002BF" w:usb1="38CF7CFA" w:usb2="00000016" w:usb3="00000000" w:csb0="00040001" w:csb1="00000000"/>
    <w:embedRegular r:id="rId2" w:fontKey="{A2102A12-15FE-47E5-95DC-52BEAEAFA82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embedRegular r:id="rId3" w:fontKey="{AA26D87B-13A1-4A2A-B185-A9570D1F4C29}"/>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embedRegular r:id="rId4" w:fontKey="{B9F77D53-B806-4DA1-8864-CEA59BD78AF6}"/>
  </w:font>
  <w:font w:name="方正小标宋简体">
    <w:panose1 w:val="02000000000000000000"/>
    <w:charset w:val="86"/>
    <w:family w:val="script"/>
    <w:pitch w:val="default"/>
    <w:sig w:usb0="00000001" w:usb1="08000000" w:usb2="00000000" w:usb3="00000000" w:csb0="00040000" w:csb1="00000000"/>
    <w:embedRegular r:id="rId5" w:fontKey="{4F9D31C6-AB2B-4153-9882-8C6D430EBEB6}"/>
  </w:font>
  <w:font w:name="Arial">
    <w:panose1 w:val="020B0604020202020204"/>
    <w:charset w:val="00"/>
    <w:family w:val="swiss"/>
    <w:pitch w:val="default"/>
    <w:sig w:usb0="E0002EFF" w:usb1="C000785B" w:usb2="00000009" w:usb3="00000000" w:csb0="400001FF" w:csb1="FFFF0000"/>
    <w:embedRegular r:id="rId6" w:fontKey="{2DDB923B-D44E-4A62-8DA6-2ECE8092C54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lYzdiNWZjZjY3N2VmYjRmOTZlNDQ0Zjk4ZmI5NmEifQ=="/>
  </w:docVars>
  <w:rsids>
    <w:rsidRoot w:val="51A27ECE"/>
    <w:rsid w:val="00151C46"/>
    <w:rsid w:val="001C2287"/>
    <w:rsid w:val="002557DA"/>
    <w:rsid w:val="003D0AC6"/>
    <w:rsid w:val="007C6741"/>
    <w:rsid w:val="008522A7"/>
    <w:rsid w:val="00853D31"/>
    <w:rsid w:val="008913F1"/>
    <w:rsid w:val="008D1B09"/>
    <w:rsid w:val="00BB3DEB"/>
    <w:rsid w:val="00BE4673"/>
    <w:rsid w:val="00D027F7"/>
    <w:rsid w:val="00E57301"/>
    <w:rsid w:val="0657466D"/>
    <w:rsid w:val="45A31B5A"/>
    <w:rsid w:val="51A27ECE"/>
    <w:rsid w:val="5EA51037"/>
    <w:rsid w:val="7096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spacing w:before="44"/>
      <w:ind w:left="760"/>
      <w:outlineLvl w:val="0"/>
    </w:pPr>
    <w:rPr>
      <w:rFonts w:ascii="楷体" w:hAnsi="楷体" w:eastAsia="楷体"/>
      <w:b/>
      <w:bCs/>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ind w:left="120" w:firstLine="640"/>
    </w:pPr>
    <w:rPr>
      <w:rFonts w:ascii="仿宋" w:hAnsi="仿宋" w:eastAsia="仿宋"/>
      <w:szCs w:val="32"/>
    </w:rPr>
  </w:style>
  <w:style w:type="paragraph" w:styleId="4">
    <w:name w:val="Balloon Text"/>
    <w:basedOn w:val="1"/>
    <w:link w:val="9"/>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批注框文本 Char"/>
    <w:basedOn w:val="8"/>
    <w:link w:val="4"/>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2057</Words>
  <Characters>2107</Characters>
  <Lines>15</Lines>
  <Paragraphs>4</Paragraphs>
  <TotalTime>76</TotalTime>
  <ScaleCrop>false</ScaleCrop>
  <LinksUpToDate>false</LinksUpToDate>
  <CharactersWithSpaces>2109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2021-04-30T07:42:00Z</dcterms:created>
  <dc:creator>林文彬</dc:creator>
  <cp:lastModifiedBy>于凌云</cp:lastModifiedBy>
  <cp:lastPrinted>2023-06-08T01:58:00Z</cp:lastPrinted>
  <dcterms:modified xsi:type="dcterms:W3CDTF">2023-06-08T07:30:00Z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E1B9820777F94B3A9606B40D79D62CE3_12</vt:lpwstr>
  </property>
</Properties>
</file>