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0EEE" w14:textId="77777777"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Caporaso, J. G., Lauber, C. L., Walters, W. A., Berg-Lyons, D., Lozupone, C. A., Turnbaugh, P. J., Fierer, N., and Knight, R. 2011. Global patterns of 16S rRNA diversity at a depth of millions of sequences per sample. PNAS 108:4516–4522. </w:t>
      </w:r>
    </w:p>
    <w:p w14:paraId="559F7A96" w14:textId="77777777"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Caporaso, J.G., Kuczynski, J., Stombaugh, J., Bittinger, K., Bushman, F. D., Costello, E. K., Fierer, N., Peña, A. G., Goodrich, J.K.,  Gordon, J. I., Huttley, G. A., Kelley, S. T., Knights, D., Koenig, J. E., Ley, R. E., Lozupone, C. A., McDonald, D., Muegge, B. D., Pirrung, M., Reeder, J., Sevinsky, J. R., Turnbaugh, P. J., Walters, W. A., Widmann, J., Yatsunenko, T., Zaneveld, J., and Knight, R. 2010. Qiime allows analysis on high-throughput community sequencing data. Nat. Methods 7:335–336.</w:t>
      </w:r>
    </w:p>
    <w:p w14:paraId="3E8522A9" w14:textId="77777777" w:rsidR="00BF0090" w:rsidRPr="00AA5EF8" w:rsidRDefault="00BF0090" w:rsidP="00BF0090">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Chapelle, E., Mendes, R., Bakker, P. A. H., and Raaijmakers, J. M. 2016. Fungal invasion of the rhizosphere microbiome. ISME J. 10:265–268. </w:t>
      </w:r>
    </w:p>
    <w:p w14:paraId="607972E4" w14:textId="76943FD9"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Cole, J. R., Wang, Q., Fish, J. A., Chai, B., McGarrell, D. M., Sun, Y., Brown, C. T., Porras-Alfaro, A., Kuske, C. R., and Tiedje, J. M. 2014. Ribosomal Database Project: Data and tools for high throughput rRNA analysis. Nucleic Acids Res. 42:D633-642.</w:t>
      </w:r>
    </w:p>
    <w:p w14:paraId="48554900" w14:textId="4355A4E5"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Deakin, G., Tilston, E. L., Bennett, J., Passey, T., Harrison, N., Fernández-Fernández, F., and Xu, X. 2018. Spatial structuring of soil microbial communities in commercial apple orchards. Appl. Soil Ecol. 130:1–12. </w:t>
      </w:r>
    </w:p>
    <w:p w14:paraId="72376CCE" w14:textId="438B0C0B"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Deng, Y., Jiang, Y. H., Yang, Y., He, Z., Luo, F., and Zhou, J. 2012. Molecular ecological network analyses. BMC Bioinformatics 13:113. </w:t>
      </w:r>
    </w:p>
    <w:p w14:paraId="3BE5E04F" w14:textId="77777777"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Edgar, R. C. 2010. Search and clustering orders of magnitude faster than BLAST. </w:t>
      </w:r>
      <w:r w:rsidRPr="008175FC">
        <w:rPr>
          <w:rFonts w:ascii="Helvetica" w:hAnsi="Helvetica" w:cs="Times New Roman"/>
          <w:noProof/>
        </w:rPr>
        <w:lastRenderedPageBreak/>
        <w:t>Bioinformatics 26:2460–2461.</w:t>
      </w:r>
    </w:p>
    <w:p w14:paraId="7CDB0E96" w14:textId="77777777"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Edgar, R. C. 2013. UPARSE: Highly accurate OTU sequences from microbial amplicon reads. Nat. Methods 10:996</w:t>
      </w:r>
      <w:r w:rsidRPr="008175FC">
        <w:rPr>
          <w:rFonts w:ascii="Helvetica" w:hAnsi="Helvetica" w:cs="Times New Roman"/>
          <w:noProof/>
        </w:rPr>
        <w:softHyphen/>
        <w:t xml:space="preserve">–998. </w:t>
      </w:r>
    </w:p>
    <w:p w14:paraId="7ACB932A" w14:textId="77777777" w:rsidR="00BF0090" w:rsidRDefault="00BF0090" w:rsidP="00BF0090">
      <w:pPr>
        <w:widowControl w:val="0"/>
        <w:autoSpaceDE w:val="0"/>
        <w:autoSpaceDN w:val="0"/>
        <w:adjustRightInd w:val="0"/>
        <w:spacing w:line="480" w:lineRule="auto"/>
        <w:ind w:left="480" w:hanging="480"/>
        <w:rPr>
          <w:rFonts w:ascii="Helvetica" w:hAnsi="Helvetica" w:cs="Times New Roman"/>
          <w:noProof/>
          <w:color w:val="000000" w:themeColor="text1"/>
        </w:rPr>
      </w:pPr>
      <w:r w:rsidRPr="008175FC">
        <w:rPr>
          <w:rFonts w:ascii="Helvetica" w:hAnsi="Helvetica" w:cs="Times New Roman"/>
          <w:noProof/>
        </w:rPr>
        <w:t xml:space="preserve">Edgar, R. C. 2016. SINTAX: A simple non-Bayesian taxonomy classifier for 16S and ITS sequences. BioRxiv 74161. doi: </w:t>
      </w:r>
      <w:hyperlink r:id="rId4" w:history="1">
        <w:r w:rsidRPr="00AA5EF8">
          <w:rPr>
            <w:rStyle w:val="Hyperlink"/>
            <w:rFonts w:ascii="Helvetica" w:hAnsi="Helvetica" w:cs="Times New Roman"/>
            <w:noProof/>
            <w:color w:val="000000" w:themeColor="text1"/>
            <w:u w:val="none"/>
          </w:rPr>
          <w:t>https://doi.org/10.1101/074161</w:t>
        </w:r>
      </w:hyperlink>
      <w:r w:rsidRPr="00AA5EF8">
        <w:rPr>
          <w:rFonts w:ascii="Helvetica" w:hAnsi="Helvetica" w:cs="Times New Roman"/>
          <w:noProof/>
          <w:color w:val="000000" w:themeColor="text1"/>
        </w:rPr>
        <w:t>.</w:t>
      </w:r>
    </w:p>
    <w:p w14:paraId="6ED9AA11" w14:textId="614C6E61"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Edgar, R. C., and Flyvbjerg, H. 2015. Error filtering, pair assembly and error correction for next-generation sequencing reads. Bioinformatics 31:3476–3482. </w:t>
      </w:r>
    </w:p>
    <w:p w14:paraId="6D231570" w14:textId="77777777"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Faust, K., and Raes, J. 2012. Microbial interactions: From networks to models. Nat. Rev. Microbiol. 10:538–550.</w:t>
      </w:r>
    </w:p>
    <w:p w14:paraId="41396CE3" w14:textId="77777777"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Franke-Whittle, I. H., Manici, L. M., Insam, H., and Stres, B. 2015. Rhizosphere bacteria and fungi associated with plant growth in soils of three replanted apple orchards. Plant Soil 395:317–333.</w:t>
      </w:r>
    </w:p>
    <w:p w14:paraId="1FBAF3F8" w14:textId="77777777"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Gdanetz, K., Benucci, G. M. N., Vande Pol, N., and Bonito, G. 2017. CONSTAX: A tool for improved taxonomic resolution of environmental fungal ITS sequences. BMC Bioinformatics 18:538.</w:t>
      </w:r>
    </w:p>
    <w:p w14:paraId="1663A440" w14:textId="77777777"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Gihring, T. M., Green, S. J., and Schadt, C. W. 2012. Massively parallel rRNA gene sequencing exacerbates the potential for biased community diversity comparisons due to variable library sizes. Environ. Microbiol. 14:285–290. </w:t>
      </w:r>
    </w:p>
    <w:p w14:paraId="4339A3F9" w14:textId="77777777"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Grady, K. L., Sorensen, J. W. S., Stopnisek, N., Guittar, J., and Shade, A. 2019. Assembly and seasonality of core phyllosphere microbiota on perennial biofuel crops. Nat. Commun. 10:4135.</w:t>
      </w:r>
    </w:p>
    <w:p w14:paraId="76C4FAAE" w14:textId="1B100E22"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Guillot, G., and Rousset, F. 2013. Dismantling the Mantel tests. Methods Ecol. Evol. </w:t>
      </w:r>
      <w:r w:rsidRPr="008175FC">
        <w:rPr>
          <w:rFonts w:ascii="Helvetica" w:hAnsi="Helvetica" w:cs="Times New Roman"/>
          <w:noProof/>
        </w:rPr>
        <w:lastRenderedPageBreak/>
        <w:t xml:space="preserve">4:336–344. </w:t>
      </w:r>
    </w:p>
    <w:p w14:paraId="20B373D2" w14:textId="77777777"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Hargreaves, S. K., Williams, R. J., and Hofmockel, K. S. 2015. Environmental filtering of microbial communities in agricultural soil shifts with crop growth. PLoS ONE 10:</w:t>
      </w:r>
      <w:r>
        <w:rPr>
          <w:rFonts w:ascii="Helvetica" w:hAnsi="Helvetica" w:cs="Times New Roman"/>
          <w:noProof/>
        </w:rPr>
        <w:t>e0134345</w:t>
      </w:r>
      <w:r w:rsidRPr="008175FC">
        <w:rPr>
          <w:rFonts w:ascii="Helvetica" w:hAnsi="Helvetica" w:cs="Times New Roman"/>
          <w:noProof/>
        </w:rPr>
        <w:t xml:space="preserve">. </w:t>
      </w:r>
    </w:p>
    <w:p w14:paraId="1F6EF670" w14:textId="74DA587D"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Hirano, H., and Takemoto, K. 2019. Difficulty in inferring microbial community structure based on co-occurrence network approaches. BMC Bioinformatics 20:329. </w:t>
      </w:r>
    </w:p>
    <w:p w14:paraId="7781A320" w14:textId="0642CE8F" w:rsidR="00BF0090" w:rsidRPr="008175FC" w:rsidRDefault="00BF0090" w:rsidP="00BF0090">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Jenkins, W. R. 1983. A rapid centrifugal-flotation technique for separating nematodes from soil. </w:t>
      </w:r>
      <w:r w:rsidRPr="00AA5EF8">
        <w:rPr>
          <w:rFonts w:ascii="Helvetica" w:hAnsi="Helvetica"/>
        </w:rPr>
        <w:t>Plant Dis. Rep. 48:692</w:t>
      </w:r>
      <w:r w:rsidR="00A653BC">
        <w:rPr>
          <w:rFonts w:ascii="Helvetica" w:hAnsi="Helvetica"/>
        </w:rPr>
        <w:t>.</w:t>
      </w:r>
    </w:p>
    <w:p w14:paraId="1655C660" w14:textId="7A9B4D08"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Jiang, J., Song, Z., Yang, X., Mao, Z., Nie, X., Guo, H., and Peng, X. 2017. Microbial community analysis of apple rhizosphere around Bohai Gulf. Sci. Rep. 7:8918.</w:t>
      </w:r>
    </w:p>
    <w:p w14:paraId="6840CF2D" w14:textId="0DDBDF2B"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Kõljalg, U., Nilsson, R. H., Abarenkov, K., Tedersoo, L., Taylor, A. F. S., Bahram, M., Bates, S. T., Bruns, T. D., Bengtsson-Palme, J., Callaghan, T. M., Douglas, B., Drenkhan, T., Eberhardt, U., Dueñas, M., Grebenc, T., Griffith, G. W., Hartmann, M., Kirk, P. M., Kohout, P., Larsson, E., Lindahl, B. D., Lücking, R., Martín, M. P., Matheny, P. B., Nguyen, N. H., Niskanen, T., Oja, J., Peay, K. G., Peintner,U., Peterson, M., Põldmaa, K., Saag, L., Saar, I., Schüßler, A., Scott, J. A., Senés, C., Smith, M. E., Suija, A., Taylor, D. L., Telleria, M. T., Weiss, M., and Larsson, K.-H. 2013. Towards a unified paradigm for sequence-based identification of fungi. Mol. Ecol. 22:5271–5277. </w:t>
      </w:r>
    </w:p>
    <w:p w14:paraId="5EB6D987" w14:textId="2593AAE0"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Laurent, A. S., Merwin, I. A., and Brown, M. G. 2010. Rootstock genotype succession influences apple replant disease and root-zone microbial community composition in an orchard soil. Plant Soil 337:259–272. </w:t>
      </w:r>
    </w:p>
    <w:p w14:paraId="3594DEB6" w14:textId="7116BF75" w:rsidR="00BF0090" w:rsidRDefault="00BF0090" w:rsidP="00BF0090">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lastRenderedPageBreak/>
        <w:t xml:space="preserve">Lee, S. H., Sorensen, J. W., Grady, K. L., Tobin, T. C., and Shade, A. 2017. Divergent extremes but convergent recovery of bacterial and archaeal soil communities to an ongoing subterranean coal mine fire. ISME J. 11:1447–1459. </w:t>
      </w:r>
    </w:p>
    <w:p w14:paraId="13097F31" w14:textId="77777777"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Leisso, R., Rudell, D., and Mazzola, M. 2017. Metabolic composition of apple rootstock rhizodeposits differs in a genotype-specific manner and affects growth of subsequent plantings. Soil Biol. Biochem. 113:201–214. </w:t>
      </w:r>
    </w:p>
    <w:p w14:paraId="6E614115"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Liu, J., Abdelfattah, A., Norelli, J., Burchard, E., Schena, L., Droby, S., and Wisniewski, M. 2018. Apple endophytic microbiota of different rootstock/scion combinations suggests a genotype-specific influence. Microbiome 6:18. </w:t>
      </w:r>
    </w:p>
    <w:p w14:paraId="6131A2C2" w14:textId="068050FF"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Marasco, R., Rolli, E., Fusi, M., Michoud, G., and Daffonchio, D. 2018. Grapevine rootstocks shape underground bacterial microbiome and networking but not potential functionality. Microbiome 6:3.</w:t>
      </w:r>
    </w:p>
    <w:p w14:paraId="10D03F93" w14:textId="7F39550F"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Martin, M. 2011. Cutadapt removes adapter sequences from high-throughput sequencing reads. EMBnet J. 17:10–12. </w:t>
      </w:r>
    </w:p>
    <w:p w14:paraId="537E530E"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McMurdie, P. J., and Holmes, S. 2013. Phyloseq: An R package for reproducible interactive analysis and graphics of microbiome census data. PLoS ONE 8:e61217. </w:t>
      </w:r>
    </w:p>
    <w:p w14:paraId="67B836FB" w14:textId="0508A3C3"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Meena, K. K., Sorty, A. M., Bitla, U. M., Choudhary, K., Gupta, P., Pareek, A., Singh, D. P., Prabha, R., Sahu, P. K., Gupta, V. K., Singh, H. B., Krishanani, K. K., and Minhas, P. S. 2017. Abiotic stress responses and microbe-mediated mitigation in plants: The omics strategies. Front.Plant Sci. 8:172. </w:t>
      </w:r>
    </w:p>
    <w:p w14:paraId="240785C3" w14:textId="3C437D23"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Mercado-Blanco, J., Abrantes, I., Caracciolo, A. B., Bevivino, A., Ciancio, A., Grenni, P., Hrynkiewicz, K., Kredics, L., and Proença, D. N. 2018. Belowground microbiota and </w:t>
      </w:r>
      <w:r w:rsidRPr="008175FC">
        <w:rPr>
          <w:rFonts w:ascii="Helvetica" w:hAnsi="Helvetica" w:cs="Times New Roman"/>
          <w:noProof/>
        </w:rPr>
        <w:lastRenderedPageBreak/>
        <w:t xml:space="preserve">the health of tree crops. Front. Microbiol. 9:1006. </w:t>
      </w:r>
    </w:p>
    <w:p w14:paraId="05DA59C3" w14:textId="77777777"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Oksanen, J. 2015. Multivariate analysis of ecological communities in R: vegan tutorial. R Package Version 2.5-4.</w:t>
      </w:r>
    </w:p>
    <w:p w14:paraId="24B24AC2"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Oksanen, J., Blanchet, F. G., Friendly, M., Kindt, R., Legendre, P., Mcglinn, D., Minchin, P. R., O'Hara, R. B., Simpson G. L., Solymos, P., Stevens, M. H. H., Szoecs, E., and Wagner, H. 2019. Package “vegan”: Community ecology package. 2.5-6.</w:t>
      </w:r>
    </w:p>
    <w:p w14:paraId="0D756D52" w14:textId="77777777" w:rsidR="00216C7D" w:rsidRPr="00AA5EF8" w:rsidRDefault="00216C7D" w:rsidP="00216C7D">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Panke-Buisse, K., Poole, A. C., Goodrich, J. K., Ley, R. E., and Kao-Kniffin, J. 2015. Selection on soil microbiomes reveals reproducible impacts on plant function. ISME J. 9:980–989. </w:t>
      </w:r>
    </w:p>
    <w:p w14:paraId="3F479629"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Poudel, R., Jumpponen, A., Kennelly, M. M., Rivard, C. L., Gomez-Montano, L., and Garrett, K. A. 2019. Rootstocks shape the rhizobiome: Rhizosphere and endosphere bacterial communities in the grafted tomato system. Appl. Environ. Microbiol. 85:e01765</w:t>
      </w:r>
      <w:r w:rsidRPr="008175FC">
        <w:rPr>
          <w:rFonts w:ascii="Helvetica" w:hAnsi="Helvetica" w:cs="Times New Roman"/>
          <w:noProof/>
        </w:rPr>
        <w:softHyphen/>
        <w:t>–18.</w:t>
      </w:r>
      <w:r w:rsidRPr="008175FC">
        <w:rPr>
          <w:rFonts w:ascii="Helvetica" w:hAnsi="Helvetica" w:cs="Times New Roman"/>
          <w:noProof/>
        </w:rPr>
        <w:softHyphen/>
      </w:r>
    </w:p>
    <w:p w14:paraId="44E4C128"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Quast, C., Pruesse, E., Yilmaz, P., Gerken, J., Schweer, T., Yarza, P., Peplies, J., and Glöckner, F. O. 2013. The SILVA ribosomal RNA gene database project: Improved data processing and web-based tools. Nucleic Acids Res. 41:D590–D596. </w:t>
      </w:r>
    </w:p>
    <w:p w14:paraId="33788D94"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Rumberger, A., Yao, S., Merwin, I. A., Nelson, E. B., and Thies, J. E. 2004. Rootstock genotype and orchard replant position rather than soil fumigation or compost amendment determine tree growth and rhizosphere bacterial community composition in an apple replant soil. Plant Soil 264:247–260. </w:t>
      </w:r>
    </w:p>
    <w:p w14:paraId="1A2B8CF5" w14:textId="77777777"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Shannon, P., Markiel, A., Ozier, O., Baliga, N. S., Wang, J. T., Ramage, D., Amin, N., Schwikowski, B., and Ideker, T. 2003. Cytoscape: A software environment for </w:t>
      </w:r>
      <w:r w:rsidRPr="008175FC">
        <w:rPr>
          <w:rFonts w:ascii="Helvetica" w:hAnsi="Helvetica" w:cs="Times New Roman"/>
          <w:noProof/>
        </w:rPr>
        <w:lastRenderedPageBreak/>
        <w:t xml:space="preserve">integrated models of biomolecular interaction networks. Genome Res. 13:2498–2504. </w:t>
      </w:r>
    </w:p>
    <w:p w14:paraId="13CB4715" w14:textId="77777777" w:rsidR="00216C7D" w:rsidRDefault="00216C7D" w:rsidP="00216C7D">
      <w:pPr>
        <w:widowControl w:val="0"/>
        <w:autoSpaceDE w:val="0"/>
        <w:autoSpaceDN w:val="0"/>
        <w:adjustRightInd w:val="0"/>
        <w:spacing w:line="480" w:lineRule="auto"/>
        <w:ind w:left="475" w:hanging="475"/>
        <w:rPr>
          <w:rFonts w:ascii="Helvetica" w:hAnsi="Helvetica" w:cs="Times New Roman"/>
          <w:noProof/>
        </w:rPr>
      </w:pPr>
      <w:r w:rsidRPr="008175FC">
        <w:rPr>
          <w:rFonts w:ascii="Helvetica" w:hAnsi="Helvetica" w:cs="Times New Roman"/>
          <w:noProof/>
        </w:rPr>
        <w:t>Si, P., Shao, W., Yu, H., Yang, X., Gao, D., Qiao, X., Wang, Z., and Wu, G. 2018. Rhizosphere microenvironments of eight common deciduous fruit trees were shaped by microbes in Northern China. Front. Microbiol. 9:3147.</w:t>
      </w:r>
    </w:p>
    <w:p w14:paraId="6AB4EAB1" w14:textId="77777777" w:rsidR="00216C7D" w:rsidRDefault="00216C7D" w:rsidP="00216C7D">
      <w:pPr>
        <w:widowControl w:val="0"/>
        <w:autoSpaceDE w:val="0"/>
        <w:autoSpaceDN w:val="0"/>
        <w:adjustRightInd w:val="0"/>
        <w:spacing w:line="480" w:lineRule="auto"/>
        <w:ind w:left="475" w:hanging="475"/>
        <w:rPr>
          <w:rFonts w:ascii="Helvetica" w:hAnsi="Helvetica" w:cs="Times New Roman"/>
          <w:noProof/>
        </w:rPr>
      </w:pPr>
      <w:r>
        <w:rPr>
          <w:rFonts w:ascii="Helvetica" w:hAnsi="Helvetica" w:cs="Times New Roman"/>
          <w:noProof/>
        </w:rPr>
        <w:t xml:space="preserve">Singh, J., Silva, K. J. P., Fuchs, M., and Khan, A. 2019. Potential role of water, soil and plant microbial communities in rapid decline of apple trees. </w:t>
      </w:r>
      <w:r w:rsidRPr="008175FC">
        <w:rPr>
          <w:rFonts w:ascii="Helvetica" w:hAnsi="Helvetica" w:cs="Times New Roman"/>
          <w:noProof/>
        </w:rPr>
        <w:t>PLoS ONE</w:t>
      </w:r>
      <w:r>
        <w:rPr>
          <w:rFonts w:ascii="Helvetica" w:hAnsi="Helvetica" w:cs="Times New Roman"/>
          <w:noProof/>
        </w:rPr>
        <w:t xml:space="preserve"> 14:e0213293.</w:t>
      </w:r>
    </w:p>
    <w:p w14:paraId="62700192" w14:textId="556A5111" w:rsidR="00216C7D" w:rsidRDefault="00216C7D" w:rsidP="00216C7D">
      <w:pPr>
        <w:widowControl w:val="0"/>
        <w:autoSpaceDE w:val="0"/>
        <w:autoSpaceDN w:val="0"/>
        <w:adjustRightInd w:val="0"/>
        <w:spacing w:line="480" w:lineRule="auto"/>
        <w:ind w:left="475" w:hanging="475"/>
        <w:rPr>
          <w:rFonts w:ascii="Helvetica" w:hAnsi="Helvetica" w:cs="Times New Roman"/>
          <w:noProof/>
        </w:rPr>
      </w:pPr>
      <w:r w:rsidRPr="008175FC">
        <w:rPr>
          <w:rFonts w:ascii="Helvetica" w:hAnsi="Helvetica" w:cs="Times New Roman"/>
          <w:noProof/>
        </w:rPr>
        <w:t>Smith, D. P., and Peay, K. G. 2014. Sequence depth, not PCR replication, improves</w:t>
      </w:r>
      <w:r>
        <w:rPr>
          <w:rFonts w:ascii="Helvetica" w:hAnsi="Helvetica" w:cs="Times New Roman"/>
          <w:noProof/>
        </w:rPr>
        <w:t xml:space="preserve"> </w:t>
      </w:r>
      <w:r w:rsidRPr="008175FC">
        <w:rPr>
          <w:rFonts w:ascii="Helvetica" w:hAnsi="Helvetica" w:cs="Times New Roman"/>
          <w:noProof/>
        </w:rPr>
        <w:t>ecological inference from next generation DNA sequencing. PLoS ONE 9:e90234.</w:t>
      </w:r>
    </w:p>
    <w:p w14:paraId="7DF935B2" w14:textId="77777777"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Stopnisek, N., and Shade, A. 2019. Cross-continental biogeography of the common bean rhizosphere microbiome reveals a persistent core membership. BioR:xiv 727461. doi: https://doi.org/10.1101/727461.</w:t>
      </w:r>
    </w:p>
    <w:p w14:paraId="40CE01DB" w14:textId="64364FE5"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Sugiyama, A., Bakker, M. G., Badri, D. V., Manter, D. K., and Vivanco, J. M. 2013. Relationships between </w:t>
      </w:r>
      <w:r w:rsidRPr="00AA5EF8">
        <w:rPr>
          <w:rFonts w:ascii="Helvetica" w:hAnsi="Helvetica" w:cs="Times New Roman"/>
          <w:i/>
          <w:iCs/>
          <w:noProof/>
        </w:rPr>
        <w:t>Arabidopsis</w:t>
      </w:r>
      <w:r w:rsidRPr="00AA5EF8">
        <w:rPr>
          <w:rFonts w:ascii="Helvetica" w:hAnsi="Helvetica" w:cs="Times New Roman"/>
          <w:noProof/>
        </w:rPr>
        <w:t xml:space="preserve"> genotype-specific biomass accumulation and associated soil microbial communities. Botany 91:123–126. </w:t>
      </w:r>
    </w:p>
    <w:p w14:paraId="062B3DB6" w14:textId="2D4009F4" w:rsidR="001C457F" w:rsidRDefault="001C457F" w:rsidP="00216C7D">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Thakur, M. P., </w:t>
      </w:r>
      <w:r w:rsidRPr="00AA5EF8">
        <w:rPr>
          <w:rFonts w:ascii="Helvetica" w:hAnsi="Helvetica" w:cs="Times New Roman"/>
          <w:noProof/>
        </w:rPr>
        <w:t>and</w:t>
      </w:r>
      <w:r w:rsidRPr="00AA5EF8">
        <w:rPr>
          <w:rFonts w:ascii="Helvetica" w:hAnsi="Helvetica" w:cs="Times New Roman"/>
          <w:noProof/>
        </w:rPr>
        <w:t xml:space="preserve"> Geisen, S. 2019. </w:t>
      </w:r>
      <w:r w:rsidRPr="00AA5EF8">
        <w:rPr>
          <w:rFonts w:ascii="Helvetica" w:hAnsi="Helvetica" w:cs="Times New Roman"/>
          <w:noProof/>
        </w:rPr>
        <w:t>Trophic regulations of the soil microbiome</w:t>
      </w:r>
      <w:r w:rsidRPr="00AA5EF8">
        <w:rPr>
          <w:rFonts w:ascii="Helvetica" w:hAnsi="Helvetica" w:cs="Times New Roman"/>
          <w:noProof/>
        </w:rPr>
        <w:t>. Trends</w:t>
      </w:r>
      <w:r w:rsidRPr="00AA5EF8">
        <w:rPr>
          <w:rFonts w:ascii="Helvetica" w:hAnsi="Helvetica" w:cs="Times New Roman"/>
          <w:noProof/>
        </w:rPr>
        <w:t xml:space="preserve"> </w:t>
      </w:r>
      <w:r w:rsidRPr="00AA5EF8">
        <w:rPr>
          <w:rFonts w:ascii="Helvetica" w:hAnsi="Helvetica" w:cs="Times New Roman"/>
          <w:noProof/>
        </w:rPr>
        <w:t>Microbio</w:t>
      </w:r>
      <w:r w:rsidRPr="00AA5EF8">
        <w:rPr>
          <w:rFonts w:ascii="Helvetica" w:hAnsi="Helvetica" w:cs="Times New Roman"/>
          <w:noProof/>
        </w:rPr>
        <w:t>l. 27:771–780.</w:t>
      </w:r>
    </w:p>
    <w:p w14:paraId="23DC9FB6" w14:textId="77777777"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[USDA NAAS] United States Department of Agriculture National Agricultural Statistics Service. 2019. Noncitrus fruits and nuts 2018 summary. https://www.nass.usda.gov/Publications/Todays_Reports/reports/ncit0619.pdf</w:t>
      </w:r>
      <w:r>
        <w:rPr>
          <w:rFonts w:ascii="Helvetica" w:hAnsi="Helvetica" w:cs="Times New Roman"/>
          <w:noProof/>
        </w:rPr>
        <w:t>.</w:t>
      </w:r>
    </w:p>
    <w:p w14:paraId="4434B68B" w14:textId="44D46968"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Wang, G., Yin, C., Pan, F., Wang, X., Xiang, L., Wang, Y., Wang, J., Tian, C., Chen, J., </w:t>
      </w:r>
      <w:r w:rsidRPr="008175FC">
        <w:rPr>
          <w:rFonts w:ascii="Helvetica" w:hAnsi="Helvetica" w:cs="Times New Roman"/>
          <w:noProof/>
        </w:rPr>
        <w:lastRenderedPageBreak/>
        <w:t>and Mao, Z. 2018. Analysis of the fungal community in apple replanted soil around Bohai Gulf. Hortic. Plant J. 4:175–181.</w:t>
      </w:r>
    </w:p>
    <w:p w14:paraId="516562EC" w14:textId="3567F5BA" w:rsidR="00216C7D" w:rsidRPr="00AA5EF8"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Wang, Q., Garrity, G. M., Tiedje, J. M., and Cole, J. R. 2007. Naïve Bayesian classifier for rapid assignment of rRNA sequences into the new bacterial taxonomy. Appl. Environ. Microbiol. 73:5261–5267.</w:t>
      </w:r>
    </w:p>
    <w:p w14:paraId="4E9FB6B2" w14:textId="2BB1DB60" w:rsidR="001C457F" w:rsidRDefault="001C457F" w:rsidP="001C457F">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Wei, Z., Yang, T., Friman, V. P., Xu, Y., Shen, Q., </w:t>
      </w:r>
      <w:r w:rsidRPr="00AA5EF8">
        <w:rPr>
          <w:rFonts w:ascii="Helvetica" w:hAnsi="Helvetica" w:cs="Times New Roman"/>
          <w:noProof/>
        </w:rPr>
        <w:t>and</w:t>
      </w:r>
      <w:r w:rsidRPr="00AA5EF8">
        <w:rPr>
          <w:rFonts w:ascii="Helvetica" w:hAnsi="Helvetica" w:cs="Times New Roman"/>
          <w:noProof/>
        </w:rPr>
        <w:t xml:space="preserve"> Jousset, A. 2015. Trophic network architecture of root-associated bacterial communities determines pathogen invasion and plant health. Nat</w:t>
      </w:r>
      <w:r w:rsidRPr="00AA5EF8">
        <w:rPr>
          <w:rFonts w:ascii="Helvetica" w:hAnsi="Helvetica" w:cs="Times New Roman"/>
          <w:noProof/>
        </w:rPr>
        <w:t>.</w:t>
      </w:r>
      <w:r w:rsidRPr="00AA5EF8">
        <w:rPr>
          <w:rFonts w:ascii="Helvetica" w:hAnsi="Helvetica" w:cs="Times New Roman"/>
          <w:noProof/>
        </w:rPr>
        <w:t xml:space="preserve"> Commun. </w:t>
      </w:r>
      <w:r w:rsidRPr="00AA5EF8">
        <w:rPr>
          <w:rFonts w:ascii="Helvetica" w:hAnsi="Helvetica" w:cs="Times New Roman"/>
          <w:noProof/>
        </w:rPr>
        <w:t>6:8413.</w:t>
      </w:r>
    </w:p>
    <w:p w14:paraId="00F5A0E8" w14:textId="1CB65276"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Weidner, S., Koller, R., Latz, E., Kowalchuk, G., Bonkowski, M., Scheu, S., and Jousset, A. 2015. Bacterial diversity amplifies nutrient-based plant-soil feedbacks. Funct. Ecol. 29:1341–1349. </w:t>
      </w:r>
    </w:p>
    <w:p w14:paraId="6FD51777"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Weiß, S., Bartsch, M., and Winkelmann, T. 2017. Transcriptomic analysis of molecular responses in </w:t>
      </w:r>
      <w:r w:rsidRPr="008175FC">
        <w:rPr>
          <w:rFonts w:ascii="Helvetica" w:hAnsi="Helvetica" w:cs="Times New Roman"/>
          <w:i/>
          <w:iCs/>
          <w:noProof/>
        </w:rPr>
        <w:t>Malus domestica</w:t>
      </w:r>
      <w:r w:rsidRPr="008175FC">
        <w:rPr>
          <w:rFonts w:ascii="Helvetica" w:hAnsi="Helvetica" w:cs="Times New Roman"/>
          <w:noProof/>
        </w:rPr>
        <w:t xml:space="preserve"> ‘M26’ roots affected by apple replant disease. Plant Mol. Biol. 94:303–318. </w:t>
      </w:r>
    </w:p>
    <w:p w14:paraId="0784B0C0" w14:textId="3ED44EC1"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Weiss, S., Xu, Z. Z., Peddada, S., Amir, A., Bittinger, K., Gonzalez, A., Lozupone, C., Zaneveld, J. R., Vázquez-Baeza, Y., Birmingham, A., Hyde, E. R., and Knight, R. 2017. Normalization and microbial differential abundance strategies depend upon data characteristics. Microbiome 5:27.</w:t>
      </w:r>
    </w:p>
    <w:p w14:paraId="729643BC"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Yao, S., Merwin, I. A., Abawi, G. S., and Thies, J. E. 2006. Soil fumigation and compost amendment alter soil microbial community composition but do not improve tree growth or yield in an apple replant site. Soil Biol. Biochem. 38:587–599. </w:t>
      </w:r>
    </w:p>
    <w:p w14:paraId="2BA54C53" w14:textId="77777777"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Yim, B., Winkelmann, T., Ding, G. C., and Smalla, K. 2015. Different bacterial </w:t>
      </w:r>
      <w:r w:rsidRPr="008175FC">
        <w:rPr>
          <w:rFonts w:ascii="Helvetica" w:hAnsi="Helvetica" w:cs="Times New Roman"/>
          <w:noProof/>
        </w:rPr>
        <w:lastRenderedPageBreak/>
        <w:t>communities in heat and gamma irradiation treated replant disease soils revealed by 16S rRNA gene analysis - contribution to improved aboveground apple plant growth? Front. Microbiol. 6:1224.</w:t>
      </w:r>
    </w:p>
    <w:p w14:paraId="7F6DC399"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 xml:space="preserve">Zhalnina, K., Louie, K. B., Hao, Z., Mansoori, N., Da Rocha, U. N., Shi, S., Cho, H., Karaoz, U., Loqué, D., Bowen, B. P., Firestone, M. K., Northen, T. R., and Brodie, E. L. 2018. Dynamic root exudate chemistry and microbial substrate preferences drive patterns in rhizosphere microbial community assembly. Nat. Microbiol. 3:470–480. </w:t>
      </w:r>
    </w:p>
    <w:p w14:paraId="31CEDFF5"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r w:rsidRPr="008175FC">
        <w:rPr>
          <w:rFonts w:ascii="Helvetica" w:hAnsi="Helvetica" w:cs="Times New Roman"/>
          <w:noProof/>
        </w:rPr>
        <w:t>Zhang, Q., Sun, J., Liu, S., and Wei, Q. 2013. Manure refinement affects apple rhizosphere bacterial community structure : a study in sandy soil. PloS ONE 8:e76937.</w:t>
      </w:r>
    </w:p>
    <w:p w14:paraId="4EC1C1AA" w14:textId="57FA616A" w:rsidR="00216C7D" w:rsidRDefault="00A653BC" w:rsidP="00216C7D">
      <w:pPr>
        <w:widowControl w:val="0"/>
        <w:autoSpaceDE w:val="0"/>
        <w:autoSpaceDN w:val="0"/>
        <w:adjustRightInd w:val="0"/>
        <w:spacing w:line="480" w:lineRule="auto"/>
        <w:ind w:left="480" w:hanging="480"/>
        <w:rPr>
          <w:rFonts w:ascii="Helvetica" w:hAnsi="Helvetica" w:cs="Times New Roman"/>
          <w:b/>
          <w:bCs/>
          <w:noProof/>
        </w:rPr>
      </w:pPr>
      <w:r w:rsidRPr="00A653BC">
        <w:rPr>
          <w:rFonts w:ascii="Helvetica" w:hAnsi="Helvetica" w:cs="Times New Roman"/>
          <w:b/>
          <w:bCs/>
          <w:noProof/>
        </w:rPr>
        <w:t>Supporting information literatures</w:t>
      </w:r>
    </w:p>
    <w:p w14:paraId="3B780509" w14:textId="066608D5" w:rsidR="009729B4" w:rsidRDefault="009729B4" w:rsidP="00216C7D">
      <w:pPr>
        <w:widowControl w:val="0"/>
        <w:autoSpaceDE w:val="0"/>
        <w:autoSpaceDN w:val="0"/>
        <w:adjustRightInd w:val="0"/>
        <w:spacing w:line="480" w:lineRule="auto"/>
        <w:ind w:left="480" w:hanging="480"/>
        <w:rPr>
          <w:rFonts w:ascii="Helvetica" w:hAnsi="Helvetica" w:cs="Times New Roman"/>
          <w:b/>
          <w:bCs/>
          <w:noProof/>
        </w:rPr>
      </w:pPr>
    </w:p>
    <w:p w14:paraId="136D8FB3" w14:textId="1B60DD98" w:rsidR="009729B4" w:rsidRPr="009729B4" w:rsidRDefault="009729B4" w:rsidP="009729B4">
      <w:pPr>
        <w:widowControl w:val="0"/>
        <w:autoSpaceDE w:val="0"/>
        <w:autoSpaceDN w:val="0"/>
        <w:adjustRightInd w:val="0"/>
        <w:spacing w:line="480" w:lineRule="auto"/>
        <w:ind w:left="480" w:hanging="480"/>
        <w:rPr>
          <w:rFonts w:ascii="Helvetica" w:hAnsi="Helvetica" w:cs="Times New Roman"/>
          <w:noProof/>
        </w:rPr>
      </w:pPr>
      <w:bookmarkStart w:id="0" w:name="_GoBack"/>
      <w:r w:rsidRPr="009B14FE">
        <w:rPr>
          <w:rFonts w:ascii="Helvetica" w:hAnsi="Helvetica" w:cs="Times New Roman"/>
          <w:noProof/>
        </w:rPr>
        <w:t>Bert, W., Claeys, M., and Borgonie, G. 2006. The comparative cellular architecture of the female gonoduct among Tylenchoidea (nematoda : Tylenchina ). J. Nematol. 38:362–375.</w:t>
      </w:r>
    </w:p>
    <w:p w14:paraId="2D070B98" w14:textId="4F87D8E1" w:rsidR="009729B4"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Brewer, T. E., Handley, K. M., Carini, P., Gilbert, J. A., and Fierer, N. 2016. Genome reduction in an abundant and ubiquitous soil bacterium “</w:t>
      </w:r>
      <w:r w:rsidRPr="009B14FE">
        <w:rPr>
          <w:rFonts w:ascii="Helvetica" w:hAnsi="Helvetica" w:cs="Times New Roman"/>
          <w:i/>
          <w:iCs/>
          <w:noProof/>
        </w:rPr>
        <w:t>Candidatus</w:t>
      </w:r>
      <w:r w:rsidRPr="009B14FE">
        <w:rPr>
          <w:rFonts w:ascii="Helvetica" w:hAnsi="Helvetica" w:cs="Times New Roman"/>
          <w:noProof/>
        </w:rPr>
        <w:t xml:space="preserve"> Udaeobacter copiosus.” Nat. Microbiol. 2:16198.</w:t>
      </w:r>
    </w:p>
    <w:p w14:paraId="34B8B511" w14:textId="42894821" w:rsidR="009729B4" w:rsidRPr="009729B4"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Brown, A. M. V., Howe, D. K., Wasala, S. K., Peetz, A. B., Zasada, I. A., and Denver, D. R. 2015. Comparative genomics of a plant-parasitic nematode endosymbiont suggest a role in nutritional symbiosis. Genome Biol. Evol. 7:2727–2746. </w:t>
      </w:r>
    </w:p>
    <w:p w14:paraId="51418B44" w14:textId="726D3696" w:rsidR="00A653BC" w:rsidRDefault="00A653BC" w:rsidP="00A653BC">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lastRenderedPageBreak/>
        <w:t xml:space="preserve">Eyre, A. W., Wang, M., Oh, Y., and Dean, R. A. 2019. Identification and characterization of the core rice seed microbiome. Phytobiomes J. 3:148–157. </w:t>
      </w:r>
    </w:p>
    <w:p w14:paraId="62D402F7" w14:textId="27A100A4" w:rsidR="009729B4"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Ferris, H., Griffiths, B. S., Porazinska, D. L., Powers, T. O., Wang, K.-H., and Tenuta, M. 2012. Reflections on plant and soil nematode ecology: Past, present and future. J. Nematol. 44:115–126.</w:t>
      </w:r>
    </w:p>
    <w:p w14:paraId="69DEF241" w14:textId="6CE4A323" w:rsidR="009729B4"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Franke-Whittle, I. H., Manici, L. M., Insam, H., and Stres, B. 2015. Rhizosphere bacteria and fungi associated with plant growth in soils of three replanted apple orchards. Plant Soil 395:317–333. </w:t>
      </w:r>
    </w:p>
    <w:p w14:paraId="0D0A2743" w14:textId="77777777" w:rsidR="009729B4" w:rsidRPr="009B14FE"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Ganeshan, G., and Kumar, A. M. 2005. </w:t>
      </w:r>
      <w:r w:rsidRPr="009B14FE">
        <w:rPr>
          <w:rFonts w:ascii="Helvetica" w:hAnsi="Helvetica" w:cs="Times New Roman"/>
          <w:i/>
          <w:iCs/>
          <w:noProof/>
        </w:rPr>
        <w:t>Pseudomonas fluorescens</w:t>
      </w:r>
      <w:r w:rsidRPr="009B14FE">
        <w:rPr>
          <w:rFonts w:ascii="Helvetica" w:hAnsi="Helvetica" w:cs="Times New Roman"/>
          <w:noProof/>
        </w:rPr>
        <w:t xml:space="preserve">, a potential bacterial antagonist to control plant diseases. J. Plant Interact. 1:123–134. </w:t>
      </w:r>
    </w:p>
    <w:p w14:paraId="73FEB246" w14:textId="1A5378FE" w:rsidR="009729B4"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Georgi, L. L. 1988. Effect of three plant species on population densities of </w:t>
      </w:r>
      <w:r w:rsidRPr="009B14FE">
        <w:rPr>
          <w:rFonts w:ascii="Helvetica" w:hAnsi="Helvetica" w:cs="Times New Roman"/>
          <w:i/>
          <w:iCs/>
          <w:noProof/>
        </w:rPr>
        <w:t>Xiphinema</w:t>
      </w:r>
      <w:r w:rsidRPr="009B14FE">
        <w:rPr>
          <w:rFonts w:ascii="Helvetica" w:hAnsi="Helvetica" w:cs="Times New Roman"/>
          <w:noProof/>
        </w:rPr>
        <w:t xml:space="preserve"> </w:t>
      </w:r>
      <w:r w:rsidRPr="009B14FE">
        <w:rPr>
          <w:rFonts w:ascii="Helvetica" w:hAnsi="Helvetica" w:cs="Times New Roman"/>
          <w:i/>
          <w:iCs/>
          <w:noProof/>
        </w:rPr>
        <w:t>americanum</w:t>
      </w:r>
      <w:r w:rsidRPr="009B14FE">
        <w:rPr>
          <w:rFonts w:ascii="Helvetica" w:hAnsi="Helvetica" w:cs="Times New Roman"/>
          <w:noProof/>
        </w:rPr>
        <w:t xml:space="preserve"> and </w:t>
      </w:r>
      <w:r w:rsidRPr="009B14FE">
        <w:rPr>
          <w:rFonts w:ascii="Helvetica" w:hAnsi="Helvetica" w:cs="Times New Roman"/>
          <w:i/>
          <w:iCs/>
          <w:noProof/>
        </w:rPr>
        <w:t>X. rivesi</w:t>
      </w:r>
      <w:r w:rsidRPr="009B14FE">
        <w:rPr>
          <w:rFonts w:ascii="Helvetica" w:hAnsi="Helvetica" w:cs="Times New Roman"/>
          <w:noProof/>
        </w:rPr>
        <w:t>. J. Nematol. 20:474–477.</w:t>
      </w:r>
    </w:p>
    <w:p w14:paraId="5DDB57E2" w14:textId="6505EAA4" w:rsidR="00A653BC" w:rsidRDefault="00A653BC" w:rsidP="00A653BC">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Herrmann, M., Saunders, A. M., and Schramm, A. 2008. Archaea dominate the ammonia-oxidizing community in the rhizosphere of the freshwater macrophyte </w:t>
      </w:r>
      <w:r w:rsidRPr="009B14FE">
        <w:rPr>
          <w:rFonts w:ascii="Helvetica" w:hAnsi="Helvetica" w:cs="Times New Roman"/>
          <w:i/>
          <w:iCs/>
          <w:noProof/>
        </w:rPr>
        <w:t>Littorella uniflora</w:t>
      </w:r>
      <w:r w:rsidRPr="009B14FE">
        <w:rPr>
          <w:rFonts w:ascii="Helvetica" w:hAnsi="Helvetica" w:cs="Times New Roman"/>
          <w:noProof/>
        </w:rPr>
        <w:t xml:space="preserve">. Appl. Environ. Microbiol. 74:3279–3283. </w:t>
      </w:r>
    </w:p>
    <w:p w14:paraId="2F078286" w14:textId="7AB8F2F1" w:rsidR="009729B4"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Jaffee, B. A., Harrison, M. B., Shaffer, R. L., and Strang, M. B. 1987. Seasonal population fluctuation of </w:t>
      </w:r>
      <w:r w:rsidRPr="009B14FE">
        <w:rPr>
          <w:rFonts w:ascii="Helvetica" w:hAnsi="Helvetica" w:cs="Times New Roman"/>
          <w:i/>
          <w:iCs/>
          <w:noProof/>
        </w:rPr>
        <w:t>Xiphinema americanum</w:t>
      </w:r>
      <w:r w:rsidRPr="009B14FE">
        <w:rPr>
          <w:rFonts w:ascii="Helvetica" w:hAnsi="Helvetica" w:cs="Times New Roman"/>
          <w:noProof/>
        </w:rPr>
        <w:t xml:space="preserve"> and </w:t>
      </w:r>
      <w:r w:rsidRPr="009B14FE">
        <w:rPr>
          <w:rFonts w:ascii="Helvetica" w:hAnsi="Helvetica" w:cs="Times New Roman"/>
          <w:i/>
          <w:iCs/>
          <w:noProof/>
        </w:rPr>
        <w:t xml:space="preserve">X. rivesi </w:t>
      </w:r>
      <w:r w:rsidRPr="009B14FE">
        <w:rPr>
          <w:rFonts w:ascii="Helvetica" w:hAnsi="Helvetica" w:cs="Times New Roman"/>
          <w:noProof/>
        </w:rPr>
        <w:t>in New York and Pennsylvania orchards. J. Nematol. 19:369–378.</w:t>
      </w:r>
    </w:p>
    <w:p w14:paraId="7D0C7A51" w14:textId="77777777" w:rsidR="009729B4" w:rsidRPr="009B14FE"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Jiang, J., Song, Z., Yang, X., Mao, Z., Nie, X., Guo, H., and Peng, X. 2017. Microbial community analysis of apple rhizosphere around Bohai Gulf. Sci. Rep. 7:8918.</w:t>
      </w:r>
    </w:p>
    <w:p w14:paraId="4FE58101" w14:textId="25451C52" w:rsidR="009729B4"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Kelderer, M., Manici, L. M., Caputo, F., and Thalheimer, M. 2012. Planting in the “inter-row” to overcome replant disease in apple orchards: A study on the effectiveness of </w:t>
      </w:r>
      <w:r w:rsidRPr="009B14FE">
        <w:rPr>
          <w:rFonts w:ascii="Helvetica" w:hAnsi="Helvetica" w:cs="Times New Roman"/>
          <w:noProof/>
        </w:rPr>
        <w:lastRenderedPageBreak/>
        <w:t xml:space="preserve">the practice based on microbial indicators. Plant Soil 357:381–393. </w:t>
      </w:r>
    </w:p>
    <w:p w14:paraId="32080E5A" w14:textId="1A2D8537" w:rsidR="00A653BC" w:rsidRDefault="00A653BC"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Kuramae, E. E., Yergeau, E., Wong, L. C., Pijl, A. S., Van Veen, J. A., and Kowalchuk, G. A. 2012. Soil characteristics more strongly influence soil bacterial communities than land-use type. FEMS Microbiol. Ecol. 79:12–24.</w:t>
      </w:r>
    </w:p>
    <w:p w14:paraId="059011EC" w14:textId="5A996439" w:rsidR="00A653BC" w:rsidRDefault="00A653BC" w:rsidP="00A653BC">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Leininger, S., Urich, T., Schloter, M., Schwark, L., Qi, J., Nicol, G. W., Prosser, J. I., Schuster, S. C., and Schleper, C. 2006. Archaea predominate among ammonia-oxidizing prokaryotes in soils. Nature 442:806–809. </w:t>
      </w:r>
    </w:p>
    <w:p w14:paraId="49A6B792" w14:textId="70A25959" w:rsidR="009729B4"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Mai, W. F., and Abawi, G. S. 1981. Controlling replant disease of pome and stone fruits in Northeastern United States by preplant fumigation. Plant Dis. 65:859–864.</w:t>
      </w:r>
    </w:p>
    <w:p w14:paraId="2A488506" w14:textId="77777777" w:rsidR="009729B4" w:rsidRPr="009B14FE"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Mendes, R., Kruijt, M., De Bruijn, I., Dekkers, E., Van Der Voort, M., Schneider, J. H. M., Piceno, Y. M., DeSantis, T. Z., Andersen, G. L., Bakker, P. A. H. M., and Raaijmakers, J. M. 2011. Deciphering the rhizosphere microbiome for disease-suppressive bacteria. Science 332:1097–1100. </w:t>
      </w:r>
    </w:p>
    <w:p w14:paraId="4E3D5D52" w14:textId="01D990ED" w:rsidR="00A653BC"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Moroenyane, I., Dong, K., Singh, D., Chimphango, S. B. M., and Adams, J. M. 2016. Deterministic processes dominate nematode community structure in the Fynbos Mediterranean heathland of South Africa. Evol. Ecol. 30:685–701.</w:t>
      </w:r>
    </w:p>
    <w:p w14:paraId="7ADA4B89" w14:textId="0F84811E" w:rsidR="00A653BC" w:rsidRDefault="00A653BC" w:rsidP="00A653BC">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Navarrete, A. A., Venturini, A. M., Meyer, K. M., Klein, A. M., Tiedje, J. M., Bohannan, B. J. M., Nüsslein, K., Tsai, S. M., and Rodrigues, J. L. M. 2015. Differential response of </w:t>
      </w:r>
      <w:r w:rsidRPr="009B14FE">
        <w:rPr>
          <w:rFonts w:ascii="Helvetica" w:hAnsi="Helvetica" w:cs="Times New Roman"/>
          <w:i/>
          <w:iCs/>
          <w:noProof/>
        </w:rPr>
        <w:t>Acidobacteria</w:t>
      </w:r>
      <w:r w:rsidRPr="009B14FE">
        <w:rPr>
          <w:rFonts w:ascii="Helvetica" w:hAnsi="Helvetica" w:cs="Times New Roman"/>
          <w:noProof/>
        </w:rPr>
        <w:t xml:space="preserve"> subgroups to forest-to-pasture conversion and their biogeographic patterns in the western Brazilian Amazon. Front. Microbiol. 6:1443.</w:t>
      </w:r>
    </w:p>
    <w:p w14:paraId="695A119F" w14:textId="7B83E66D" w:rsidR="009729B4" w:rsidRPr="009B14FE"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Tewoldemedhin, Y. T., Mazzola, M., Botha, W. J., Spies, C. F. J., and McLeod, A. 2011. Characterization of fungi (</w:t>
      </w:r>
      <w:r w:rsidRPr="009B14FE">
        <w:rPr>
          <w:rFonts w:ascii="Helvetica" w:hAnsi="Helvetica" w:cs="Times New Roman"/>
          <w:i/>
          <w:iCs/>
          <w:noProof/>
        </w:rPr>
        <w:t xml:space="preserve">Fusarium </w:t>
      </w:r>
      <w:r w:rsidRPr="009B14FE">
        <w:rPr>
          <w:rFonts w:ascii="Helvetica" w:hAnsi="Helvetica" w:cs="Times New Roman"/>
          <w:noProof/>
        </w:rPr>
        <w:t>and</w:t>
      </w:r>
      <w:r w:rsidRPr="009B14FE">
        <w:rPr>
          <w:rFonts w:ascii="Helvetica" w:hAnsi="Helvetica" w:cs="Times New Roman"/>
          <w:i/>
          <w:iCs/>
          <w:noProof/>
        </w:rPr>
        <w:t xml:space="preserve"> Rhizoctonia</w:t>
      </w:r>
      <w:r w:rsidRPr="009B14FE">
        <w:rPr>
          <w:rFonts w:ascii="Helvetica" w:hAnsi="Helvetica" w:cs="Times New Roman"/>
          <w:noProof/>
        </w:rPr>
        <w:t xml:space="preserve">) and oomycetes </w:t>
      </w:r>
      <w:r w:rsidRPr="009B14FE">
        <w:rPr>
          <w:rFonts w:ascii="Helvetica" w:hAnsi="Helvetica" w:cs="Times New Roman"/>
          <w:noProof/>
        </w:rPr>
        <w:lastRenderedPageBreak/>
        <w:t>(</w:t>
      </w:r>
      <w:r w:rsidRPr="009B14FE">
        <w:rPr>
          <w:rFonts w:ascii="Helvetica" w:hAnsi="Helvetica" w:cs="Times New Roman"/>
          <w:i/>
          <w:iCs/>
          <w:noProof/>
        </w:rPr>
        <w:t>Phytophthora</w:t>
      </w:r>
      <w:r w:rsidRPr="009B14FE">
        <w:rPr>
          <w:rFonts w:ascii="Helvetica" w:hAnsi="Helvetica" w:cs="Times New Roman"/>
          <w:noProof/>
        </w:rPr>
        <w:t xml:space="preserve"> and </w:t>
      </w:r>
      <w:r w:rsidRPr="009B14FE">
        <w:rPr>
          <w:rFonts w:ascii="Helvetica" w:hAnsi="Helvetica" w:cs="Times New Roman"/>
          <w:i/>
          <w:iCs/>
          <w:noProof/>
        </w:rPr>
        <w:t>Pythium</w:t>
      </w:r>
      <w:r w:rsidRPr="009B14FE">
        <w:rPr>
          <w:rFonts w:ascii="Helvetica" w:hAnsi="Helvetica" w:cs="Times New Roman"/>
          <w:noProof/>
        </w:rPr>
        <w:t xml:space="preserve">) associated with apple orchards in South Africa. Eur. J. Plant Pathol. 130:215–229. </w:t>
      </w:r>
    </w:p>
    <w:p w14:paraId="589AE655" w14:textId="033EC41A" w:rsidR="00A653BC" w:rsidRDefault="00A653BC" w:rsidP="00A653BC">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Tilston, E. L., Deakin, G., Bennett, J., Passey, T., Harrison, N., O'Brien, F., Fernández- Fernández, F., and Xu, X. 2018. Candidate causal organisms for apple replant disease in the United Kingdom. Phytobiomes J. 2:261–274. </w:t>
      </w:r>
    </w:p>
    <w:p w14:paraId="19F5C522" w14:textId="049858DD" w:rsidR="009729B4" w:rsidRDefault="009729B4" w:rsidP="00A653BC">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Treonis, A. M., Unangst, S. K., Kepler, R. M., Buyer, J. S., Cavigelli, M. A., Mirsky, S. B., and Maul, J. E. 2018. Characterization of soil nematode communities in three cropping systems th</w:t>
      </w:r>
    </w:p>
    <w:p w14:paraId="1884E5E5" w14:textId="1C9BBDC6" w:rsidR="009729B4" w:rsidRPr="009B14FE"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Wang, G., Yin, C., Pan, F., Wang, X., Xiang, L., Wang, Y., Wang, J., Tian, C., Chen, J., and Mao, Z. 2018. Analysis of the fungal community in apple replanted soil around Bohai Gulf. Hortic. Plant J. 4:175–181. </w:t>
      </w:r>
    </w:p>
    <w:p w14:paraId="4E35A3D0" w14:textId="4740E167" w:rsidR="00A653BC"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 xml:space="preserve">Watson, T. T., Forge, T. A., and Nelson, L. M. 2018. Pseudomonads contribute to regulation of </w:t>
      </w:r>
      <w:r w:rsidRPr="009B14FE">
        <w:rPr>
          <w:rFonts w:ascii="Helvetica" w:hAnsi="Helvetica" w:cs="Times New Roman"/>
          <w:i/>
          <w:iCs/>
          <w:noProof/>
        </w:rPr>
        <w:t>Pratylenchus penetrans</w:t>
      </w:r>
      <w:r w:rsidRPr="009B14FE">
        <w:rPr>
          <w:rFonts w:ascii="Helvetica" w:hAnsi="Helvetica" w:cs="Times New Roman"/>
          <w:noProof/>
        </w:rPr>
        <w:t xml:space="preserve"> (nematoda) populations on apple. Can J. Microbiol. 64:775–785.</w:t>
      </w:r>
    </w:p>
    <w:p w14:paraId="263733C8" w14:textId="77777777" w:rsidR="00A653BC" w:rsidRPr="009B14FE" w:rsidRDefault="00A653BC" w:rsidP="00A653BC">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Wuchter, C., Abbas, B., Coolen, M. J. L., Herfort, L., van Bleijswijk, J., Timmers, P., Strous, M., Teira, E., Herndl, G. J., Middleburg, J. J., Schouten, S., and Damsté, J. S. S. 2006. Archaeal nitrification in the ocean. PNAS 103:12317–12322.</w:t>
      </w:r>
    </w:p>
    <w:p w14:paraId="77662F73" w14:textId="741890C4" w:rsidR="00A653BC" w:rsidRPr="009B14FE" w:rsidRDefault="009729B4" w:rsidP="009729B4">
      <w:pPr>
        <w:widowControl w:val="0"/>
        <w:autoSpaceDE w:val="0"/>
        <w:autoSpaceDN w:val="0"/>
        <w:adjustRightInd w:val="0"/>
        <w:spacing w:line="480" w:lineRule="auto"/>
        <w:ind w:left="480" w:hanging="480"/>
        <w:rPr>
          <w:rFonts w:ascii="Helvetica" w:hAnsi="Helvetica" w:cs="Times New Roman"/>
          <w:noProof/>
        </w:rPr>
      </w:pPr>
      <w:r w:rsidRPr="009B14FE">
        <w:rPr>
          <w:rFonts w:ascii="Helvetica" w:hAnsi="Helvetica" w:cs="Times New Roman"/>
          <w:noProof/>
        </w:rPr>
        <w:t>Yang, J. in, Ruegger, P. M., McKenry, M. V., Becker, J. O., and Borneman, J. 2012. Correlations between root-associated microorganisms and peach replant disease symptoms in a California soil. PLoS ONE 7:e46420.</w:t>
      </w:r>
    </w:p>
    <w:p w14:paraId="727959EA" w14:textId="77777777" w:rsidR="00A653BC" w:rsidRPr="009B14FE" w:rsidRDefault="00A653BC" w:rsidP="00A653BC">
      <w:pPr>
        <w:widowControl w:val="0"/>
        <w:autoSpaceDE w:val="0"/>
        <w:autoSpaceDN w:val="0"/>
        <w:adjustRightInd w:val="0"/>
        <w:spacing w:line="480" w:lineRule="auto"/>
        <w:ind w:left="480" w:hanging="480"/>
        <w:rPr>
          <w:rFonts w:ascii="Helvetica" w:hAnsi="Helvetica"/>
          <w:noProof/>
        </w:rPr>
      </w:pPr>
      <w:r w:rsidRPr="009B14FE">
        <w:rPr>
          <w:rFonts w:ascii="Helvetica" w:hAnsi="Helvetica" w:cs="Times New Roman"/>
          <w:noProof/>
        </w:rPr>
        <w:t>Zhalnina, K., de Quadros, P. D., Camargo, F. A. O., and Triplett, E. W. 2012. Drivers of archaeal ammonia-oxidizing communities in soil. Front. Microbiol. 3:210.</w:t>
      </w:r>
      <w:bookmarkEnd w:id="0"/>
      <w:r w:rsidRPr="009B14FE">
        <w:rPr>
          <w:rFonts w:ascii="Helvetica" w:hAnsi="Helvetica" w:cs="Times New Roman"/>
          <w:noProof/>
        </w:rPr>
        <w:t xml:space="preserve"> </w:t>
      </w:r>
    </w:p>
    <w:p w14:paraId="08A65344" w14:textId="77777777" w:rsidR="00216C7D" w:rsidRPr="00AA5EF8" w:rsidRDefault="00216C7D" w:rsidP="00216C7D">
      <w:pPr>
        <w:widowControl w:val="0"/>
        <w:autoSpaceDE w:val="0"/>
        <w:autoSpaceDN w:val="0"/>
        <w:adjustRightInd w:val="0"/>
        <w:spacing w:line="480" w:lineRule="auto"/>
        <w:ind w:left="480" w:hanging="480"/>
        <w:rPr>
          <w:rFonts w:ascii="Helvetica" w:hAnsi="Helvetica" w:cs="Times New Roman"/>
          <w:noProof/>
        </w:rPr>
      </w:pPr>
    </w:p>
    <w:p w14:paraId="6139C98A" w14:textId="77777777" w:rsidR="00216C7D" w:rsidRPr="00AA5EF8" w:rsidRDefault="00216C7D" w:rsidP="001C457F">
      <w:pPr>
        <w:widowControl w:val="0"/>
        <w:autoSpaceDE w:val="0"/>
        <w:autoSpaceDN w:val="0"/>
        <w:adjustRightInd w:val="0"/>
        <w:spacing w:line="480" w:lineRule="auto"/>
        <w:ind w:left="480" w:hanging="480"/>
        <w:rPr>
          <w:rFonts w:ascii="Helvetica" w:hAnsi="Helvetica" w:cs="Times New Roman"/>
          <w:noProof/>
        </w:rPr>
      </w:pPr>
    </w:p>
    <w:p w14:paraId="0AA759F7" w14:textId="6E18173A" w:rsidR="00AA5EF8" w:rsidRDefault="00BF0090" w:rsidP="00AA5EF8">
      <w:pPr>
        <w:widowControl w:val="0"/>
        <w:autoSpaceDE w:val="0"/>
        <w:autoSpaceDN w:val="0"/>
        <w:adjustRightInd w:val="0"/>
        <w:spacing w:line="480" w:lineRule="auto"/>
        <w:ind w:left="480" w:hanging="480"/>
        <w:rPr>
          <w:rFonts w:ascii="Helvetica" w:hAnsi="Helvetica" w:cs="Times New Roman"/>
          <w:noProof/>
        </w:rPr>
      </w:pPr>
      <w:r w:rsidRPr="00AA5EF8">
        <w:rPr>
          <w:rFonts w:ascii="Helvetica" w:hAnsi="Helvetica" w:cs="Times New Roman"/>
          <w:noProof/>
        </w:rPr>
        <w:t xml:space="preserve"> </w:t>
      </w:r>
    </w:p>
    <w:p w14:paraId="09CD714E" w14:textId="4749BAF6" w:rsidR="001C457F" w:rsidRDefault="001C457F" w:rsidP="00AA5EF8">
      <w:pPr>
        <w:widowControl w:val="0"/>
        <w:autoSpaceDE w:val="0"/>
        <w:autoSpaceDN w:val="0"/>
        <w:adjustRightInd w:val="0"/>
        <w:spacing w:line="480" w:lineRule="auto"/>
        <w:ind w:left="480" w:hanging="480"/>
        <w:rPr>
          <w:rFonts w:ascii="Helvetica" w:hAnsi="Helvetica"/>
        </w:rPr>
      </w:pPr>
    </w:p>
    <w:p w14:paraId="5702A3FF" w14:textId="5D7A7B2D" w:rsidR="00AA5EF8" w:rsidRPr="008175FC" w:rsidRDefault="00AA5EF8" w:rsidP="00AA5EF8">
      <w:pPr>
        <w:widowControl w:val="0"/>
        <w:autoSpaceDE w:val="0"/>
        <w:autoSpaceDN w:val="0"/>
        <w:adjustRightInd w:val="0"/>
        <w:spacing w:line="480" w:lineRule="auto"/>
        <w:ind w:left="480" w:hanging="480"/>
        <w:rPr>
          <w:rFonts w:ascii="Helvetica" w:hAnsi="Helvetica" w:cs="Times New Roman"/>
          <w:noProof/>
        </w:rPr>
      </w:pPr>
    </w:p>
    <w:p w14:paraId="0FC39598" w14:textId="77777777" w:rsidR="00AA5EF8" w:rsidRPr="008175FC" w:rsidRDefault="00AA5EF8" w:rsidP="00AA5EF8">
      <w:pPr>
        <w:widowControl w:val="0"/>
        <w:autoSpaceDE w:val="0"/>
        <w:autoSpaceDN w:val="0"/>
        <w:adjustRightInd w:val="0"/>
        <w:spacing w:line="480" w:lineRule="auto"/>
        <w:ind w:left="480" w:hanging="480"/>
        <w:rPr>
          <w:rFonts w:ascii="Helvetica" w:hAnsi="Helvetica" w:cs="Times New Roman"/>
          <w:noProof/>
        </w:rPr>
      </w:pPr>
    </w:p>
    <w:p w14:paraId="3CED9217" w14:textId="77777777" w:rsidR="00216C7D" w:rsidRPr="008175FC" w:rsidRDefault="00216C7D" w:rsidP="006445CD">
      <w:pPr>
        <w:widowControl w:val="0"/>
        <w:autoSpaceDE w:val="0"/>
        <w:autoSpaceDN w:val="0"/>
        <w:adjustRightInd w:val="0"/>
        <w:spacing w:line="480" w:lineRule="auto"/>
        <w:ind w:left="480" w:hanging="480"/>
        <w:rPr>
          <w:rFonts w:ascii="Helvetica" w:hAnsi="Helvetica" w:cs="Times New Roman"/>
          <w:noProof/>
        </w:rPr>
      </w:pPr>
    </w:p>
    <w:p w14:paraId="22828B77" w14:textId="77777777" w:rsidR="00216C7D" w:rsidRPr="008175FC" w:rsidRDefault="00216C7D" w:rsidP="00216C7D">
      <w:pPr>
        <w:widowControl w:val="0"/>
        <w:autoSpaceDE w:val="0"/>
        <w:autoSpaceDN w:val="0"/>
        <w:adjustRightInd w:val="0"/>
        <w:spacing w:line="480" w:lineRule="auto"/>
        <w:ind w:left="480" w:hanging="480"/>
        <w:rPr>
          <w:rFonts w:ascii="Helvetica" w:hAnsi="Helvetica" w:cs="Times New Roman"/>
          <w:noProof/>
        </w:rPr>
      </w:pPr>
    </w:p>
    <w:p w14:paraId="58006DB4" w14:textId="77777777" w:rsidR="00216C7D" w:rsidRDefault="00216C7D" w:rsidP="00216C7D">
      <w:pPr>
        <w:widowControl w:val="0"/>
        <w:autoSpaceDE w:val="0"/>
        <w:autoSpaceDN w:val="0"/>
        <w:adjustRightInd w:val="0"/>
        <w:spacing w:line="480" w:lineRule="auto"/>
        <w:ind w:left="480" w:hanging="480"/>
        <w:rPr>
          <w:rFonts w:ascii="Helvetica" w:hAnsi="Helvetica" w:cs="Times New Roman"/>
          <w:noProof/>
        </w:rPr>
      </w:pPr>
    </w:p>
    <w:p w14:paraId="4A26A07B" w14:textId="77777777" w:rsidR="00216C7D" w:rsidRDefault="00216C7D" w:rsidP="00216C7D">
      <w:pPr>
        <w:widowControl w:val="0"/>
        <w:autoSpaceDE w:val="0"/>
        <w:autoSpaceDN w:val="0"/>
        <w:adjustRightInd w:val="0"/>
        <w:spacing w:line="480" w:lineRule="auto"/>
        <w:ind w:left="475" w:hanging="475"/>
        <w:rPr>
          <w:rFonts w:ascii="Helvetica" w:hAnsi="Helvetica" w:cs="Times New Roman"/>
          <w:noProof/>
        </w:rPr>
      </w:pPr>
    </w:p>
    <w:p w14:paraId="42D4611F" w14:textId="77777777" w:rsidR="00216C7D" w:rsidRPr="008175FC" w:rsidRDefault="00216C7D" w:rsidP="006445CD">
      <w:pPr>
        <w:widowControl w:val="0"/>
        <w:autoSpaceDE w:val="0"/>
        <w:autoSpaceDN w:val="0"/>
        <w:adjustRightInd w:val="0"/>
        <w:spacing w:line="480" w:lineRule="auto"/>
        <w:ind w:left="480" w:hanging="480"/>
        <w:rPr>
          <w:rFonts w:ascii="Helvetica" w:hAnsi="Helvetica" w:cs="Times New Roman"/>
          <w:noProof/>
        </w:rPr>
      </w:pPr>
    </w:p>
    <w:p w14:paraId="7128CECE" w14:textId="77777777" w:rsidR="00216C7D" w:rsidRPr="008175FC" w:rsidRDefault="00216C7D" w:rsidP="006445CD">
      <w:pPr>
        <w:widowControl w:val="0"/>
        <w:autoSpaceDE w:val="0"/>
        <w:autoSpaceDN w:val="0"/>
        <w:adjustRightInd w:val="0"/>
        <w:spacing w:line="480" w:lineRule="auto"/>
        <w:ind w:left="480" w:hanging="480"/>
        <w:rPr>
          <w:rFonts w:ascii="Helvetica" w:hAnsi="Helvetica" w:cs="Times New Roman"/>
          <w:noProof/>
        </w:rPr>
      </w:pPr>
    </w:p>
    <w:p w14:paraId="02B2C063" w14:textId="77777777" w:rsidR="00216C7D" w:rsidRPr="008175FC" w:rsidRDefault="00216C7D" w:rsidP="006445CD">
      <w:pPr>
        <w:widowControl w:val="0"/>
        <w:autoSpaceDE w:val="0"/>
        <w:autoSpaceDN w:val="0"/>
        <w:adjustRightInd w:val="0"/>
        <w:spacing w:line="480" w:lineRule="auto"/>
        <w:ind w:left="480" w:hanging="480"/>
        <w:rPr>
          <w:rFonts w:ascii="Helvetica" w:hAnsi="Helvetica" w:cs="Times New Roman"/>
          <w:noProof/>
        </w:rPr>
      </w:pPr>
    </w:p>
    <w:p w14:paraId="3F821099" w14:textId="77777777" w:rsidR="006445CD" w:rsidRPr="008175FC" w:rsidRDefault="006445CD" w:rsidP="006445CD">
      <w:pPr>
        <w:widowControl w:val="0"/>
        <w:autoSpaceDE w:val="0"/>
        <w:autoSpaceDN w:val="0"/>
        <w:adjustRightInd w:val="0"/>
        <w:spacing w:line="480" w:lineRule="auto"/>
        <w:ind w:left="475" w:hanging="475"/>
        <w:rPr>
          <w:rFonts w:ascii="Helvetica" w:hAnsi="Helvetica" w:cs="Times New Roman"/>
          <w:noProof/>
        </w:rPr>
      </w:pPr>
    </w:p>
    <w:p w14:paraId="6FF5D4D7" w14:textId="77777777" w:rsidR="00AA5EF8" w:rsidRPr="00AA5EF8" w:rsidRDefault="00AA5EF8" w:rsidP="00AA5EF8">
      <w:pPr>
        <w:widowControl w:val="0"/>
        <w:autoSpaceDE w:val="0"/>
        <w:autoSpaceDN w:val="0"/>
        <w:adjustRightInd w:val="0"/>
        <w:spacing w:line="480" w:lineRule="auto"/>
        <w:ind w:left="480" w:hanging="480"/>
        <w:rPr>
          <w:rFonts w:ascii="Helvetica" w:hAnsi="Helvetica" w:cs="Times New Roman"/>
          <w:noProof/>
        </w:rPr>
      </w:pPr>
    </w:p>
    <w:p w14:paraId="03628562" w14:textId="77777777" w:rsidR="001C457F" w:rsidRPr="00AA5EF8" w:rsidRDefault="001C457F" w:rsidP="001C457F">
      <w:pPr>
        <w:widowControl w:val="0"/>
        <w:autoSpaceDE w:val="0"/>
        <w:autoSpaceDN w:val="0"/>
        <w:adjustRightInd w:val="0"/>
        <w:spacing w:line="480" w:lineRule="auto"/>
        <w:ind w:left="480" w:hanging="480"/>
        <w:rPr>
          <w:rFonts w:ascii="Helvetica" w:hAnsi="Helvetica" w:cs="Times New Roman"/>
          <w:noProof/>
        </w:rPr>
      </w:pPr>
    </w:p>
    <w:p w14:paraId="168480D6" w14:textId="77777777" w:rsidR="001C457F" w:rsidRPr="00AA5EF8" w:rsidRDefault="001C457F" w:rsidP="001C457F">
      <w:pPr>
        <w:widowControl w:val="0"/>
        <w:autoSpaceDE w:val="0"/>
        <w:autoSpaceDN w:val="0"/>
        <w:adjustRightInd w:val="0"/>
        <w:spacing w:line="480" w:lineRule="auto"/>
        <w:ind w:left="480" w:hanging="480"/>
        <w:rPr>
          <w:rFonts w:ascii="Helvetica" w:hAnsi="Helvetica" w:cs="Times New Roman"/>
          <w:noProof/>
        </w:rPr>
      </w:pPr>
    </w:p>
    <w:p w14:paraId="08AA1AF9" w14:textId="148EB9D7" w:rsidR="001C457F" w:rsidRPr="00AA5EF8" w:rsidRDefault="001C457F" w:rsidP="001C457F">
      <w:pPr>
        <w:widowControl w:val="0"/>
        <w:autoSpaceDE w:val="0"/>
        <w:autoSpaceDN w:val="0"/>
        <w:adjustRightInd w:val="0"/>
        <w:spacing w:line="480" w:lineRule="auto"/>
        <w:ind w:left="480" w:hanging="480"/>
        <w:rPr>
          <w:rFonts w:ascii="Helvetica" w:hAnsi="Helvetica" w:cs="Times New Roman"/>
          <w:noProof/>
        </w:rPr>
      </w:pPr>
    </w:p>
    <w:p w14:paraId="0181F3CE" w14:textId="77777777" w:rsidR="007739E2" w:rsidRPr="00AA5EF8" w:rsidRDefault="00A3087C">
      <w:pPr>
        <w:rPr>
          <w:rFonts w:ascii="Helvetica" w:hAnsi="Helvetica"/>
        </w:rPr>
      </w:pPr>
    </w:p>
    <w:sectPr w:rsidR="007739E2" w:rsidRPr="00AA5EF8" w:rsidSect="0072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F"/>
    <w:rsid w:val="0016075F"/>
    <w:rsid w:val="00172F3D"/>
    <w:rsid w:val="001C457F"/>
    <w:rsid w:val="00211A61"/>
    <w:rsid w:val="00216C7D"/>
    <w:rsid w:val="002C0D78"/>
    <w:rsid w:val="003B03EC"/>
    <w:rsid w:val="004440AC"/>
    <w:rsid w:val="004A0B61"/>
    <w:rsid w:val="004C00E9"/>
    <w:rsid w:val="006445CD"/>
    <w:rsid w:val="00697C9C"/>
    <w:rsid w:val="0072774E"/>
    <w:rsid w:val="00735BBB"/>
    <w:rsid w:val="007D1F1E"/>
    <w:rsid w:val="00863735"/>
    <w:rsid w:val="00963580"/>
    <w:rsid w:val="009729B4"/>
    <w:rsid w:val="009B6142"/>
    <w:rsid w:val="00A3087C"/>
    <w:rsid w:val="00A653BC"/>
    <w:rsid w:val="00AA5EF8"/>
    <w:rsid w:val="00AB3289"/>
    <w:rsid w:val="00BF0090"/>
    <w:rsid w:val="00C206D9"/>
    <w:rsid w:val="00C574D1"/>
    <w:rsid w:val="00C6664F"/>
    <w:rsid w:val="00DD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815B6"/>
  <w14:defaultImageDpi w14:val="32767"/>
  <w15:chartTrackingRefBased/>
  <w15:docId w15:val="{7432FBF3-0F4F-DE49-A3EC-466707AC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4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5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457F"/>
    <w:rPr>
      <w:rFonts w:ascii="Times New Roman" w:hAnsi="Times New Roman" w:cs="Times New Roman"/>
      <w:sz w:val="18"/>
      <w:szCs w:val="18"/>
    </w:rPr>
  </w:style>
  <w:style w:type="character" w:styleId="Hyperlink">
    <w:name w:val="Hyperlink"/>
    <w:basedOn w:val="DefaultParagraphFont"/>
    <w:uiPriority w:val="99"/>
    <w:unhideWhenUsed/>
    <w:rsid w:val="001C457F"/>
    <w:rPr>
      <w:color w:val="0563C1" w:themeColor="hyperlink"/>
      <w:u w:val="single"/>
    </w:rPr>
  </w:style>
  <w:style w:type="character" w:styleId="UnresolvedMention">
    <w:name w:val="Unresolved Mention"/>
    <w:basedOn w:val="DefaultParagraphFont"/>
    <w:uiPriority w:val="99"/>
    <w:rsid w:val="001C457F"/>
    <w:rPr>
      <w:color w:val="605E5C"/>
      <w:shd w:val="clear" w:color="auto" w:fill="E1DFDD"/>
    </w:rPr>
  </w:style>
  <w:style w:type="paragraph" w:styleId="NormalWeb">
    <w:name w:val="Normal (Web)"/>
    <w:basedOn w:val="Normal"/>
    <w:uiPriority w:val="99"/>
    <w:unhideWhenUsed/>
    <w:rsid w:val="00AA5E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671534">
      <w:bodyDiv w:val="1"/>
      <w:marLeft w:val="0"/>
      <w:marRight w:val="0"/>
      <w:marTop w:val="0"/>
      <w:marBottom w:val="0"/>
      <w:divBdr>
        <w:top w:val="none" w:sz="0" w:space="0" w:color="auto"/>
        <w:left w:val="none" w:sz="0" w:space="0" w:color="auto"/>
        <w:bottom w:val="none" w:sz="0" w:space="0" w:color="auto"/>
        <w:right w:val="none" w:sz="0" w:space="0" w:color="auto"/>
      </w:divBdr>
      <w:divsChild>
        <w:div w:id="1337616373">
          <w:marLeft w:val="0"/>
          <w:marRight w:val="0"/>
          <w:marTop w:val="0"/>
          <w:marBottom w:val="0"/>
          <w:divBdr>
            <w:top w:val="none" w:sz="0" w:space="0" w:color="auto"/>
            <w:left w:val="none" w:sz="0" w:space="0" w:color="auto"/>
            <w:bottom w:val="none" w:sz="0" w:space="0" w:color="auto"/>
            <w:right w:val="none" w:sz="0" w:space="0" w:color="auto"/>
          </w:divBdr>
          <w:divsChild>
            <w:div w:id="944851361">
              <w:marLeft w:val="0"/>
              <w:marRight w:val="0"/>
              <w:marTop w:val="0"/>
              <w:marBottom w:val="0"/>
              <w:divBdr>
                <w:top w:val="none" w:sz="0" w:space="0" w:color="auto"/>
                <w:left w:val="none" w:sz="0" w:space="0" w:color="auto"/>
                <w:bottom w:val="none" w:sz="0" w:space="0" w:color="auto"/>
                <w:right w:val="none" w:sz="0" w:space="0" w:color="auto"/>
              </w:divBdr>
              <w:divsChild>
                <w:div w:id="7807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1/074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Bintarti, Ari Fina</dc:creator>
  <cp:keywords/>
  <dc:description/>
  <cp:lastModifiedBy>Bintarti, Ari Fina</cp:lastModifiedBy>
  <cp:revision>1</cp:revision>
  <dcterms:created xsi:type="dcterms:W3CDTF">2020-01-09T04:48:00Z</dcterms:created>
  <dcterms:modified xsi:type="dcterms:W3CDTF">2020-01-09T06:07:00Z</dcterms:modified>
</cp:coreProperties>
</file>