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22B3D" w14:textId="4115DE04" w:rsidR="002C404D" w:rsidRDefault="00327A6D" w:rsidP="002C404D">
      <w:pPr>
        <w:pStyle w:val="Title"/>
        <w:rPr>
          <w:sz w:val="40"/>
          <w:szCs w:val="40"/>
        </w:rPr>
      </w:pPr>
      <w:r w:rsidRPr="00CB1619">
        <w:rPr>
          <w:sz w:val="40"/>
          <w:szCs w:val="40"/>
        </w:rPr>
        <w:t>Individual Assignment Cover Sheet</w:t>
      </w:r>
    </w:p>
    <w:p w14:paraId="7EF31851" w14:textId="77777777" w:rsidR="00CB1619" w:rsidRPr="00CB1619" w:rsidRDefault="00CB1619" w:rsidP="00CB1619"/>
    <w:tbl>
      <w:tblPr>
        <w:tblStyle w:val="TableGrid"/>
        <w:tblW w:w="9639" w:type="dxa"/>
        <w:tblInd w:w="137" w:type="dxa"/>
        <w:tblLook w:val="04A0" w:firstRow="1" w:lastRow="0" w:firstColumn="1" w:lastColumn="0" w:noHBand="0" w:noVBand="1"/>
        <w:tblCaption w:val="Course Details"/>
        <w:tblDescription w:val="This is a table that contains course details, including course name, course code, instructor name and contact information. It may also include information about the course T.A."/>
      </w:tblPr>
      <w:tblGrid>
        <w:gridCol w:w="1131"/>
        <w:gridCol w:w="5145"/>
        <w:gridCol w:w="989"/>
        <w:gridCol w:w="2374"/>
      </w:tblGrid>
      <w:tr w:rsidR="00CF0A9D" w:rsidRPr="0071649E" w14:paraId="7921C759" w14:textId="77777777" w:rsidTr="00BB6957">
        <w:trPr>
          <w:trHeight w:val="575"/>
        </w:trPr>
        <w:tc>
          <w:tcPr>
            <w:tcW w:w="994" w:type="dxa"/>
            <w:shd w:val="clear" w:color="auto" w:fill="004990"/>
            <w:tcMar>
              <w:left w:w="43" w:type="dxa"/>
              <w:right w:w="43" w:type="dxa"/>
            </w:tcMar>
            <w:vAlign w:val="center"/>
          </w:tcPr>
          <w:p w14:paraId="01A1A0E6" w14:textId="65A1F758" w:rsidR="00CF0A9D" w:rsidRPr="00374BF1" w:rsidRDefault="00CF0A9D" w:rsidP="00CF0A9D">
            <w:pPr>
              <w:spacing w:after="0"/>
              <w:rPr>
                <w:color w:val="FFFFFF" w:themeColor="background1"/>
                <w:lang w:val="en-CA"/>
              </w:rPr>
            </w:pPr>
            <w:r>
              <w:rPr>
                <w:color w:val="FFFFFF" w:themeColor="background1"/>
                <w:lang w:val="en-CA"/>
              </w:rPr>
              <w:t>Course Code:</w:t>
            </w:r>
            <w:r w:rsidRPr="00374BF1">
              <w:rPr>
                <w:color w:val="FFFFFF" w:themeColor="background1"/>
                <w:lang w:val="en-CA"/>
              </w:rPr>
              <w:t xml:space="preserve"> </w:t>
            </w:r>
          </w:p>
        </w:tc>
        <w:tc>
          <w:tcPr>
            <w:tcW w:w="5243" w:type="dxa"/>
            <w:tcMar>
              <w:left w:w="43" w:type="dxa"/>
              <w:right w:w="43" w:type="dxa"/>
            </w:tcMar>
            <w:vAlign w:val="center"/>
          </w:tcPr>
          <w:p w14:paraId="30A65406" w14:textId="7BB75A19" w:rsidR="00CF0A9D" w:rsidRPr="00BB6957" w:rsidRDefault="00BB6957" w:rsidP="00CF0A9D">
            <w:pPr>
              <w:spacing w:after="0"/>
              <w:rPr>
                <w:b/>
                <w:bCs/>
                <w:sz w:val="22"/>
                <w:szCs w:val="22"/>
                <w:lang w:val="en-CA"/>
              </w:rPr>
            </w:pPr>
            <w:r w:rsidRPr="00BB6957">
              <w:rPr>
                <w:b/>
                <w:bCs/>
                <w:sz w:val="22"/>
                <w:szCs w:val="22"/>
                <w:lang w:val="en-CA"/>
              </w:rPr>
              <w:t>RSM5600HFLEC0101</w:t>
            </w:r>
          </w:p>
        </w:tc>
        <w:tc>
          <w:tcPr>
            <w:tcW w:w="992" w:type="dxa"/>
            <w:shd w:val="clear" w:color="auto" w:fill="004990"/>
            <w:tcMar>
              <w:left w:w="43" w:type="dxa"/>
              <w:right w:w="43" w:type="dxa"/>
            </w:tcMar>
            <w:vAlign w:val="center"/>
          </w:tcPr>
          <w:p w14:paraId="77F2340F" w14:textId="10704809" w:rsidR="00CF0A9D" w:rsidRPr="00374BF1" w:rsidRDefault="00CE193A" w:rsidP="00CF0A9D">
            <w:pPr>
              <w:spacing w:after="0"/>
              <w:rPr>
                <w:color w:val="FFFFFF" w:themeColor="background1"/>
                <w:lang w:val="en-CA"/>
              </w:rPr>
            </w:pPr>
            <w:r>
              <w:rPr>
                <w:color w:val="FFFFFF" w:themeColor="background1"/>
                <w:lang w:val="en-CA"/>
              </w:rPr>
              <w:t>Date</w:t>
            </w:r>
            <w:r w:rsidR="00CF0A9D" w:rsidRPr="00374BF1">
              <w:rPr>
                <w:color w:val="FFFFFF" w:themeColor="background1"/>
                <w:lang w:val="en-CA"/>
              </w:rPr>
              <w:t xml:space="preserve">: </w:t>
            </w:r>
          </w:p>
        </w:tc>
        <w:tc>
          <w:tcPr>
            <w:tcW w:w="2410" w:type="dxa"/>
            <w:tcMar>
              <w:left w:w="43" w:type="dxa"/>
              <w:right w:w="43" w:type="dxa"/>
            </w:tcMar>
            <w:vAlign w:val="center"/>
          </w:tcPr>
          <w:p w14:paraId="21C40C8A" w14:textId="260E9F3C" w:rsidR="00CF0A9D" w:rsidRPr="00BB6957" w:rsidRDefault="00BB6957" w:rsidP="00BB6957">
            <w:pPr>
              <w:shd w:val="clear" w:color="auto" w:fill="FFFFFF"/>
              <w:spacing w:after="0"/>
              <w:outlineLvl w:val="1"/>
              <w:rPr>
                <w:b/>
                <w:bCs/>
                <w:sz w:val="22"/>
                <w:szCs w:val="22"/>
              </w:rPr>
            </w:pPr>
            <w:r w:rsidRPr="00BB6957">
              <w:rPr>
                <w:b/>
                <w:bCs/>
                <w:sz w:val="22"/>
                <w:szCs w:val="22"/>
              </w:rPr>
              <w:t>09-20-2025</w:t>
            </w:r>
          </w:p>
        </w:tc>
      </w:tr>
      <w:tr w:rsidR="002C404D" w:rsidRPr="0071649E" w14:paraId="08CD0844" w14:textId="77777777" w:rsidTr="00BB6957">
        <w:trPr>
          <w:trHeight w:val="521"/>
        </w:trPr>
        <w:tc>
          <w:tcPr>
            <w:tcW w:w="994" w:type="dxa"/>
            <w:shd w:val="clear" w:color="auto" w:fill="004990"/>
            <w:tcMar>
              <w:left w:w="43" w:type="dxa"/>
              <w:right w:w="43" w:type="dxa"/>
            </w:tcMar>
            <w:vAlign w:val="center"/>
          </w:tcPr>
          <w:p w14:paraId="1FE98A89" w14:textId="5A68D12D" w:rsidR="002C404D" w:rsidRPr="00374BF1" w:rsidRDefault="00003B67" w:rsidP="000F7785">
            <w:pPr>
              <w:spacing w:after="0"/>
              <w:rPr>
                <w:color w:val="FFFFFF" w:themeColor="background1"/>
                <w:lang w:val="en-CA"/>
              </w:rPr>
            </w:pPr>
            <w:r>
              <w:rPr>
                <w:color w:val="FFFFFF" w:themeColor="background1"/>
                <w:lang w:val="en-CA"/>
              </w:rPr>
              <w:t>Course</w:t>
            </w:r>
            <w:r w:rsidR="00384BB5">
              <w:rPr>
                <w:color w:val="FFFFFF" w:themeColor="background1"/>
                <w:lang w:val="en-CA"/>
              </w:rPr>
              <w:t xml:space="preserve"> Title:</w:t>
            </w:r>
          </w:p>
        </w:tc>
        <w:tc>
          <w:tcPr>
            <w:tcW w:w="5243" w:type="dxa"/>
            <w:tcMar>
              <w:left w:w="43" w:type="dxa"/>
              <w:right w:w="43" w:type="dxa"/>
            </w:tcMar>
            <w:vAlign w:val="center"/>
          </w:tcPr>
          <w:p w14:paraId="5D745E25" w14:textId="5C7B07E8" w:rsidR="002C404D" w:rsidRPr="00BB6957" w:rsidRDefault="00BB6957" w:rsidP="00BB6957">
            <w:pPr>
              <w:shd w:val="clear" w:color="auto" w:fill="FFFFFF"/>
              <w:spacing w:after="0"/>
              <w:outlineLvl w:val="1"/>
              <w:rPr>
                <w:b/>
                <w:bCs/>
                <w:sz w:val="22"/>
                <w:szCs w:val="22"/>
                <w:lang w:val="en-CA"/>
              </w:rPr>
            </w:pPr>
            <w:r w:rsidRPr="00BB6957">
              <w:rPr>
                <w:b/>
                <w:bCs/>
                <w:sz w:val="22"/>
                <w:szCs w:val="22"/>
              </w:rPr>
              <w:t>RSM5600H F LEC0101 20259</w:t>
            </w:r>
          </w:p>
        </w:tc>
        <w:tc>
          <w:tcPr>
            <w:tcW w:w="992" w:type="dxa"/>
            <w:shd w:val="clear" w:color="auto" w:fill="004990"/>
            <w:tcMar>
              <w:left w:w="43" w:type="dxa"/>
              <w:right w:w="43" w:type="dxa"/>
            </w:tcMar>
            <w:vAlign w:val="center"/>
          </w:tcPr>
          <w:p w14:paraId="544C8A01" w14:textId="18C760AB" w:rsidR="002C404D" w:rsidRPr="00D7459F" w:rsidRDefault="00CE193A" w:rsidP="000F7785">
            <w:pPr>
              <w:spacing w:after="0"/>
              <w:rPr>
                <w:b/>
                <w:bCs/>
                <w:color w:val="FFFFFF" w:themeColor="background1"/>
                <w:lang w:val="en-CA"/>
              </w:rPr>
            </w:pPr>
            <w:r w:rsidRPr="00D7459F">
              <w:rPr>
                <w:b/>
                <w:bCs/>
                <w:color w:val="FFFFFF" w:themeColor="background1"/>
                <w:lang w:val="en-CA"/>
              </w:rPr>
              <w:t>Student Number:</w:t>
            </w:r>
            <w:r w:rsidR="002C404D" w:rsidRPr="00D7459F">
              <w:rPr>
                <w:b/>
                <w:bCs/>
                <w:color w:val="FFFFFF" w:themeColor="background1"/>
                <w:lang w:val="en-CA"/>
              </w:rPr>
              <w:t xml:space="preserve"> </w:t>
            </w:r>
          </w:p>
        </w:tc>
        <w:tc>
          <w:tcPr>
            <w:tcW w:w="2410" w:type="dxa"/>
            <w:tcMar>
              <w:left w:w="43" w:type="dxa"/>
              <w:right w:w="43" w:type="dxa"/>
            </w:tcMar>
            <w:vAlign w:val="center"/>
          </w:tcPr>
          <w:p w14:paraId="17573D08" w14:textId="3EDD5790" w:rsidR="002C404D" w:rsidRPr="00BB6957" w:rsidRDefault="00BB6957" w:rsidP="00BB6957">
            <w:pPr>
              <w:shd w:val="clear" w:color="auto" w:fill="FFFFFF"/>
              <w:spacing w:after="0"/>
              <w:outlineLvl w:val="1"/>
              <w:rPr>
                <w:b/>
                <w:bCs/>
                <w:sz w:val="22"/>
                <w:szCs w:val="22"/>
              </w:rPr>
            </w:pPr>
            <w:r w:rsidRPr="00BB6957">
              <w:rPr>
                <w:b/>
                <w:bCs/>
                <w:sz w:val="22"/>
                <w:szCs w:val="22"/>
              </w:rPr>
              <w:t>1012884425</w:t>
            </w:r>
          </w:p>
        </w:tc>
      </w:tr>
      <w:tr w:rsidR="002C404D" w:rsidRPr="0071649E" w14:paraId="1328569F" w14:textId="77777777" w:rsidTr="00BB6957">
        <w:trPr>
          <w:trHeight w:val="539"/>
        </w:trPr>
        <w:tc>
          <w:tcPr>
            <w:tcW w:w="994" w:type="dxa"/>
            <w:shd w:val="clear" w:color="auto" w:fill="004990"/>
            <w:tcMar>
              <w:left w:w="43" w:type="dxa"/>
              <w:right w:w="43" w:type="dxa"/>
            </w:tcMar>
            <w:vAlign w:val="center"/>
          </w:tcPr>
          <w:p w14:paraId="3CC2E08F" w14:textId="18711C00" w:rsidR="002C404D" w:rsidRPr="00374BF1" w:rsidRDefault="00DB739B" w:rsidP="000F7785">
            <w:pPr>
              <w:spacing w:after="0"/>
              <w:rPr>
                <w:color w:val="FFFFFF" w:themeColor="background1"/>
                <w:lang w:val="en-CA"/>
              </w:rPr>
            </w:pPr>
            <w:r w:rsidRPr="00374BF1">
              <w:rPr>
                <w:color w:val="FFFFFF" w:themeColor="background1"/>
                <w:lang w:val="en-CA"/>
              </w:rPr>
              <w:t xml:space="preserve">Instructor </w:t>
            </w:r>
            <w:r>
              <w:rPr>
                <w:color w:val="FFFFFF" w:themeColor="background1"/>
                <w:lang w:val="en-CA"/>
              </w:rPr>
              <w:t>Name</w:t>
            </w:r>
            <w:r w:rsidRPr="00374BF1">
              <w:rPr>
                <w:color w:val="FFFFFF" w:themeColor="background1"/>
                <w:lang w:val="en-CA"/>
              </w:rPr>
              <w:t>:</w:t>
            </w:r>
          </w:p>
        </w:tc>
        <w:tc>
          <w:tcPr>
            <w:tcW w:w="5243" w:type="dxa"/>
            <w:tcMar>
              <w:left w:w="43" w:type="dxa"/>
              <w:right w:w="43" w:type="dxa"/>
            </w:tcMar>
            <w:vAlign w:val="center"/>
          </w:tcPr>
          <w:p w14:paraId="1B2DAF35" w14:textId="35AAF9C3" w:rsidR="002C404D" w:rsidRPr="008417FE" w:rsidRDefault="00BB6957" w:rsidP="004654A7">
            <w:pPr>
              <w:spacing w:after="0"/>
              <w:rPr>
                <w:lang w:val="en-CA"/>
              </w:rPr>
            </w:pPr>
            <w:r w:rsidRPr="00BB6957">
              <w:rPr>
                <w:b/>
                <w:bCs/>
                <w:sz w:val="22"/>
                <w:szCs w:val="22"/>
              </w:rPr>
              <w:t>Marlys Christianson</w:t>
            </w:r>
          </w:p>
        </w:tc>
        <w:tc>
          <w:tcPr>
            <w:tcW w:w="992" w:type="dxa"/>
            <w:shd w:val="clear" w:color="auto" w:fill="004990"/>
            <w:tcMar>
              <w:left w:w="43" w:type="dxa"/>
              <w:right w:w="43" w:type="dxa"/>
            </w:tcMar>
            <w:vAlign w:val="center"/>
          </w:tcPr>
          <w:p w14:paraId="42A75540" w14:textId="725D0EFF" w:rsidR="002C404D" w:rsidRPr="00374BF1" w:rsidRDefault="002C404D" w:rsidP="000F7785">
            <w:pPr>
              <w:spacing w:after="0"/>
              <w:rPr>
                <w:color w:val="FFFFFF" w:themeColor="background1"/>
                <w:lang w:val="en-CA"/>
              </w:rPr>
            </w:pPr>
          </w:p>
        </w:tc>
        <w:tc>
          <w:tcPr>
            <w:tcW w:w="2410" w:type="dxa"/>
            <w:tcMar>
              <w:left w:w="43" w:type="dxa"/>
              <w:right w:w="43" w:type="dxa"/>
            </w:tcMar>
            <w:vAlign w:val="center"/>
          </w:tcPr>
          <w:p w14:paraId="287E5FA7" w14:textId="0739C24F" w:rsidR="002C404D" w:rsidRPr="008417FE" w:rsidRDefault="002C404D" w:rsidP="00790229">
            <w:pPr>
              <w:spacing w:after="0"/>
              <w:rPr>
                <w:lang w:val="en-CA"/>
              </w:rPr>
            </w:pPr>
          </w:p>
        </w:tc>
      </w:tr>
      <w:tr w:rsidR="002C404D" w:rsidRPr="0071649E" w14:paraId="427A9873" w14:textId="77777777" w:rsidTr="00BB6957">
        <w:trPr>
          <w:trHeight w:val="521"/>
        </w:trPr>
        <w:tc>
          <w:tcPr>
            <w:tcW w:w="994" w:type="dxa"/>
            <w:shd w:val="clear" w:color="auto" w:fill="004990"/>
            <w:tcMar>
              <w:left w:w="43" w:type="dxa"/>
              <w:right w:w="43" w:type="dxa"/>
            </w:tcMar>
            <w:vAlign w:val="center"/>
          </w:tcPr>
          <w:p w14:paraId="0D8FDA25" w14:textId="410C1047" w:rsidR="002C404D" w:rsidRPr="00374BF1" w:rsidRDefault="00DB739B" w:rsidP="000F7785">
            <w:pPr>
              <w:spacing w:after="0"/>
              <w:rPr>
                <w:color w:val="FFFFFF" w:themeColor="background1"/>
                <w:lang w:val="en-CA"/>
              </w:rPr>
            </w:pPr>
            <w:r>
              <w:rPr>
                <w:color w:val="FFFFFF" w:themeColor="background1"/>
                <w:lang w:val="en-CA"/>
              </w:rPr>
              <w:t>Assignment Title:</w:t>
            </w:r>
            <w:r w:rsidR="002C404D" w:rsidRPr="00374BF1">
              <w:rPr>
                <w:color w:val="FFFFFF" w:themeColor="background1"/>
                <w:lang w:val="en-CA"/>
              </w:rPr>
              <w:t xml:space="preserve"> </w:t>
            </w:r>
          </w:p>
        </w:tc>
        <w:tc>
          <w:tcPr>
            <w:tcW w:w="5243" w:type="dxa"/>
            <w:tcMar>
              <w:left w:w="43" w:type="dxa"/>
              <w:right w:w="43" w:type="dxa"/>
            </w:tcMar>
            <w:vAlign w:val="center"/>
          </w:tcPr>
          <w:p w14:paraId="76EB387A" w14:textId="38E2A16C" w:rsidR="00BB6957" w:rsidRPr="00BB6957" w:rsidRDefault="00BB6957" w:rsidP="00BB6957">
            <w:pPr>
              <w:shd w:val="clear" w:color="auto" w:fill="FFFFFF"/>
              <w:spacing w:after="0"/>
              <w:outlineLvl w:val="1"/>
              <w:rPr>
                <w:b/>
                <w:bCs/>
                <w:sz w:val="22"/>
                <w:szCs w:val="22"/>
              </w:rPr>
            </w:pPr>
            <w:r w:rsidRPr="00BB6957">
              <w:rPr>
                <w:b/>
                <w:bCs/>
                <w:sz w:val="22"/>
                <w:szCs w:val="22"/>
              </w:rPr>
              <w:t>Personal Leadership</w:t>
            </w:r>
          </w:p>
          <w:p w14:paraId="62B082C0" w14:textId="64F5FD5F" w:rsidR="002C404D" w:rsidRPr="008417FE" w:rsidRDefault="002C404D" w:rsidP="00790229">
            <w:pPr>
              <w:spacing w:after="0"/>
              <w:rPr>
                <w:lang w:val="en-CA"/>
              </w:rPr>
            </w:pPr>
          </w:p>
        </w:tc>
        <w:tc>
          <w:tcPr>
            <w:tcW w:w="992" w:type="dxa"/>
            <w:shd w:val="clear" w:color="auto" w:fill="004990"/>
            <w:tcMar>
              <w:left w:w="43" w:type="dxa"/>
              <w:right w:w="43" w:type="dxa"/>
            </w:tcMar>
            <w:vAlign w:val="center"/>
          </w:tcPr>
          <w:p w14:paraId="2894DA44" w14:textId="6CF6C27A" w:rsidR="002C404D" w:rsidRPr="00374BF1" w:rsidRDefault="002C404D" w:rsidP="000F7785">
            <w:pPr>
              <w:spacing w:after="0"/>
              <w:rPr>
                <w:color w:val="FFFFFF" w:themeColor="background1"/>
                <w:lang w:val="en-CA"/>
              </w:rPr>
            </w:pPr>
          </w:p>
        </w:tc>
        <w:tc>
          <w:tcPr>
            <w:tcW w:w="2410" w:type="dxa"/>
            <w:tcMar>
              <w:left w:w="43" w:type="dxa"/>
              <w:right w:w="43" w:type="dxa"/>
            </w:tcMar>
            <w:vAlign w:val="center"/>
          </w:tcPr>
          <w:p w14:paraId="7186265C" w14:textId="7615E95D" w:rsidR="002C404D" w:rsidRPr="008417FE" w:rsidRDefault="002C404D" w:rsidP="00790229">
            <w:pPr>
              <w:spacing w:after="0"/>
              <w:rPr>
                <w:lang w:val="en-CA"/>
              </w:rPr>
            </w:pPr>
          </w:p>
        </w:tc>
      </w:tr>
    </w:tbl>
    <w:p w14:paraId="6C673EC9" w14:textId="77777777" w:rsidR="00351C03" w:rsidRDefault="00351C03" w:rsidP="00351C03">
      <w:pPr>
        <w:spacing w:after="0"/>
        <w:rPr>
          <w:b/>
          <w:i/>
        </w:rPr>
      </w:pPr>
      <w:bookmarkStart w:id="0" w:name="_Toc486511596"/>
    </w:p>
    <w:p w14:paraId="662F0F30" w14:textId="7725EA75" w:rsidR="008F65A7" w:rsidRDefault="00000000" w:rsidP="005C6BEE">
      <w:pPr>
        <w:pStyle w:val="Heading1"/>
        <w:spacing w:before="240"/>
        <w:rPr>
          <w:noProof/>
        </w:rPr>
      </w:pPr>
      <w:bookmarkStart w:id="1" w:name="_Toc50628446"/>
      <w:r>
        <w:rPr>
          <w:noProof/>
          <w:lang w:eastAsia="en-CA"/>
        </w:rPr>
        <w:pict w14:anchorId="4F297B1A">
          <v:rect id="_x0000_i1025" style="width:0;height:1.5pt" o:hralign="center" o:hrstd="t" o:hr="t" fillcolor="#a0a0a0" stroked="f"/>
        </w:pict>
      </w:r>
    </w:p>
    <w:p w14:paraId="7C651572" w14:textId="310E7C34" w:rsidR="00DB4D1B" w:rsidRDefault="005C6BEE" w:rsidP="005C6BEE">
      <w:pPr>
        <w:pStyle w:val="Heading1"/>
        <w:spacing w:before="0"/>
        <w:rPr>
          <w:noProof/>
          <w:lang w:eastAsia="en-CA"/>
        </w:rPr>
      </w:pPr>
      <w:r>
        <w:rPr>
          <w:noProof/>
        </w:rPr>
        <w:t xml:space="preserve"> </w:t>
      </w:r>
      <w:r w:rsidR="00093F4A">
        <w:rPr>
          <w:noProof/>
        </w:rPr>
        <w:drawing>
          <wp:inline distT="0" distB="0" distL="0" distR="0" wp14:anchorId="784BAC5D" wp14:editId="336020B6">
            <wp:extent cx="6400800" cy="946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946150"/>
                    </a:xfrm>
                    <a:prstGeom prst="rect">
                      <a:avLst/>
                    </a:prstGeom>
                  </pic:spPr>
                </pic:pic>
              </a:graphicData>
            </a:graphic>
          </wp:inline>
        </w:drawing>
      </w:r>
    </w:p>
    <w:p w14:paraId="5A47E2C5" w14:textId="5EDBDB6A" w:rsidR="00C23275" w:rsidRDefault="00C23275" w:rsidP="00C23275">
      <w:pPr>
        <w:pStyle w:val="NormalWeb"/>
        <w:shd w:val="clear" w:color="auto" w:fill="FFFFFF"/>
        <w:spacing w:before="0" w:beforeAutospacing="0" w:after="240" w:afterAutospacing="0"/>
        <w:rPr>
          <w:rFonts w:ascii="Roboto" w:hAnsi="Roboto"/>
          <w:color w:val="323232"/>
          <w:szCs w:val="20"/>
        </w:rPr>
      </w:pPr>
      <w:r>
        <w:rPr>
          <w:rFonts w:ascii="Roboto" w:hAnsi="Roboto"/>
          <w:color w:val="323232"/>
          <w:szCs w:val="20"/>
        </w:rPr>
        <w:t xml:space="preserve">   </w:t>
      </w:r>
      <w:hyperlink r:id="rId12" w:tgtFrame="_blank" w:history="1">
        <w:r w:rsidRPr="00803E4A">
          <w:rPr>
            <w:rStyle w:val="Hyperlink"/>
            <w:rFonts w:ascii="Roboto" w:hAnsi="Roboto"/>
            <w:color w:val="0463C1"/>
            <w:szCs w:val="20"/>
          </w:rPr>
          <w:t xml:space="preserve">Code of </w:t>
        </w:r>
        <w:proofErr w:type="spellStart"/>
        <w:r w:rsidRPr="00803E4A">
          <w:rPr>
            <w:rStyle w:val="Hyperlink"/>
            <w:rFonts w:ascii="Roboto" w:hAnsi="Roboto"/>
            <w:color w:val="0463C1"/>
            <w:szCs w:val="20"/>
          </w:rPr>
          <w:t>Behaviour</w:t>
        </w:r>
        <w:proofErr w:type="spellEnd"/>
        <w:r w:rsidRPr="00803E4A">
          <w:rPr>
            <w:rStyle w:val="Hyperlink"/>
            <w:rFonts w:ascii="Roboto" w:hAnsi="Roboto"/>
            <w:color w:val="0463C1"/>
            <w:szCs w:val="20"/>
          </w:rPr>
          <w:t xml:space="preserve"> on Academic Matters</w:t>
        </w:r>
      </w:hyperlink>
      <w:r w:rsidRPr="00803E4A">
        <w:rPr>
          <w:rFonts w:ascii="Roboto" w:hAnsi="Roboto"/>
          <w:color w:val="323232"/>
          <w:szCs w:val="20"/>
        </w:rPr>
        <w:t>.</w:t>
      </w:r>
    </w:p>
    <w:p w14:paraId="446FBB11" w14:textId="600D169E" w:rsidR="00046665" w:rsidRDefault="00217B90" w:rsidP="00046665">
      <w:pPr>
        <w:rPr>
          <w:lang w:val="en-CA" w:eastAsia="en-CA"/>
        </w:rPr>
      </w:pPr>
      <w:r>
        <w:rPr>
          <w:noProof/>
        </w:rPr>
        <w:drawing>
          <wp:inline distT="0" distB="0" distL="0" distR="0" wp14:anchorId="7129A53B" wp14:editId="1C10F487">
            <wp:extent cx="6400800" cy="2700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00655"/>
                    </a:xfrm>
                    <a:prstGeom prst="rect">
                      <a:avLst/>
                    </a:prstGeom>
                  </pic:spPr>
                </pic:pic>
              </a:graphicData>
            </a:graphic>
          </wp:inline>
        </w:drawing>
      </w:r>
    </w:p>
    <w:p w14:paraId="550A2291" w14:textId="1490B14E" w:rsidR="002F5BF7" w:rsidRDefault="00000000" w:rsidP="00046665">
      <w:pPr>
        <w:rPr>
          <w:noProof/>
          <w:lang w:val="en-CA" w:eastAsia="en-CA"/>
        </w:rPr>
      </w:pPr>
      <w:r>
        <w:rPr>
          <w:noProof/>
          <w:lang w:val="en-CA" w:eastAsia="en-CA"/>
        </w:rPr>
        <w:pict w14:anchorId="0DEEB370">
          <v:rect id="_x0000_i1026" style="width:0;height:1.5pt" o:hralign="center" o:hrstd="t" o:hr="t" fillcolor="#a0a0a0" stroked="f"/>
        </w:pict>
      </w:r>
    </w:p>
    <w:p w14:paraId="2E6617BA" w14:textId="7BD69BAE" w:rsidR="002F5BF7" w:rsidRDefault="00F87DBE" w:rsidP="00046665">
      <w:pPr>
        <w:rPr>
          <w:noProof/>
          <w:lang w:val="en-CA" w:eastAsia="en-CA"/>
        </w:rPr>
      </w:pPr>
      <w:r>
        <w:rPr>
          <w:noProof/>
        </w:rPr>
        <w:drawing>
          <wp:inline distT="0" distB="0" distL="0" distR="0" wp14:anchorId="731F6B7A" wp14:editId="26B6C6B7">
            <wp:extent cx="5772150" cy="7770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8458" cy="781952"/>
                    </a:xfrm>
                    <a:prstGeom prst="rect">
                      <a:avLst/>
                    </a:prstGeom>
                  </pic:spPr>
                </pic:pic>
              </a:graphicData>
            </a:graphic>
          </wp:inline>
        </w:drawing>
      </w:r>
    </w:p>
    <w:p w14:paraId="78EA8E96" w14:textId="77777777" w:rsidR="00BB6957" w:rsidRPr="00BB6957" w:rsidRDefault="00BB6957" w:rsidP="00BB6957">
      <w:pPr>
        <w:rPr>
          <w:b/>
          <w:bCs/>
          <w:color w:val="00B050"/>
          <w:sz w:val="24"/>
        </w:rPr>
      </w:pPr>
      <w:r w:rsidRPr="00BB6957">
        <w:rPr>
          <w:b/>
          <w:bCs/>
          <w:color w:val="00B050"/>
          <w:sz w:val="24"/>
        </w:rPr>
        <w:t>September 16, 2025 – What Do Leaders Do?</w:t>
      </w:r>
    </w:p>
    <w:p w14:paraId="596D0694" w14:textId="77777777" w:rsidR="00BB6957" w:rsidRPr="00690ED7" w:rsidRDefault="00BB6957" w:rsidP="00BB6957">
      <w:pPr>
        <w:rPr>
          <w:b/>
          <w:bCs/>
        </w:rPr>
      </w:pPr>
      <w:r w:rsidRPr="00690ED7">
        <w:rPr>
          <w:b/>
          <w:bCs/>
        </w:rPr>
        <w:lastRenderedPageBreak/>
        <w:t>Key Learnings:</w:t>
      </w:r>
    </w:p>
    <w:p w14:paraId="46A23FCB" w14:textId="77777777" w:rsidR="00BB6957" w:rsidRPr="00690ED7" w:rsidRDefault="00BB6957" w:rsidP="00BB6957">
      <w:pPr>
        <w:numPr>
          <w:ilvl w:val="0"/>
          <w:numId w:val="22"/>
        </w:numPr>
        <w:spacing w:after="0" w:line="278" w:lineRule="auto"/>
      </w:pPr>
      <w:r w:rsidRPr="00690ED7">
        <w:t>Leadership vs. Management – John Kotter’s distinction clarified that managers bring stability and order, while leaders drive change and vision</w:t>
      </w:r>
    </w:p>
    <w:p w14:paraId="59763B64" w14:textId="77777777" w:rsidR="00BB6957" w:rsidRPr="00690ED7" w:rsidRDefault="00BB6957" w:rsidP="00BB6957">
      <w:pPr>
        <w:numPr>
          <w:ilvl w:val="0"/>
          <w:numId w:val="22"/>
        </w:numPr>
        <w:spacing w:after="0" w:line="278" w:lineRule="auto"/>
      </w:pPr>
      <w:r w:rsidRPr="00690ED7">
        <w:t>Transitioning to Leadership – In “Becoming the Boss,” I realized how many first-time leaders struggle not because of technical gaps, but because of mindset shifts — from “doer” to “enabler</w:t>
      </w:r>
      <w:proofErr w:type="gramStart"/>
      <w:r w:rsidRPr="00690ED7">
        <w:t>” .</w:t>
      </w:r>
      <w:proofErr w:type="gramEnd"/>
    </w:p>
    <w:p w14:paraId="27D153B4" w14:textId="77777777" w:rsidR="00BB6957" w:rsidRPr="00690ED7" w:rsidRDefault="00BB6957" w:rsidP="00BB6957">
      <w:pPr>
        <w:numPr>
          <w:ilvl w:val="0"/>
          <w:numId w:val="22"/>
        </w:numPr>
        <w:spacing w:after="0" w:line="278" w:lineRule="auto"/>
      </w:pPr>
      <w:r w:rsidRPr="00690ED7">
        <w:t>The Erik Peterson cases highlighted that leadership failure often comes from weak alignment upward and laterally, not from individual effort. Peterson’s lack of managing up and boundary building was fatal</w:t>
      </w:r>
    </w:p>
    <w:p w14:paraId="2484FB35" w14:textId="77777777" w:rsidR="00BB6957" w:rsidRDefault="00BB6957" w:rsidP="00BB6957">
      <w:pPr>
        <w:spacing w:after="0"/>
        <w:rPr>
          <w:b/>
          <w:bCs/>
        </w:rPr>
      </w:pPr>
    </w:p>
    <w:p w14:paraId="1CA5D96D" w14:textId="77777777" w:rsidR="00BB6957" w:rsidRPr="00690ED7" w:rsidRDefault="00BB6957" w:rsidP="00BB6957">
      <w:pPr>
        <w:spacing w:after="0"/>
      </w:pPr>
      <w:r w:rsidRPr="00690ED7">
        <w:rPr>
          <w:b/>
          <w:bCs/>
        </w:rPr>
        <w:t>Personal Reflection (TD Bank connection</w:t>
      </w:r>
      <w:r w:rsidRPr="00690ED7">
        <w:t>):</w:t>
      </w:r>
      <w:r w:rsidRPr="00690ED7">
        <w:br/>
        <w:t>At TD, I often straddle the line between managing delivery and influencing strategy. For example, in RPA projects, I sometimes slipped into being “too operational” — ensuring deadlines and compliance — and less on vision-setting. Kotter’s framing helped me see that my role should be to prepare the organization for change (e.g., aligning stakeholders to embrace AI agents beyond bots) rather than just executing tasks.</w:t>
      </w:r>
    </w:p>
    <w:p w14:paraId="2192F4C7" w14:textId="77777777" w:rsidR="00BB6957" w:rsidRDefault="00BB6957" w:rsidP="00BB6957">
      <w:pPr>
        <w:spacing w:after="0"/>
      </w:pPr>
      <w:r w:rsidRPr="00690ED7">
        <w:t>Similarly, the Peterson case reminded me of moments when I underestimated the importance of managing up. Early in my QE lead role, I focused on building technically flawless test plans, but I neglected to proactively align with senior VPs about risks.</w:t>
      </w:r>
    </w:p>
    <w:p w14:paraId="1DC54964" w14:textId="77777777" w:rsidR="00BB6957" w:rsidRPr="00690ED7" w:rsidRDefault="00BB6957" w:rsidP="00BB6957">
      <w:pPr>
        <w:spacing w:after="0"/>
      </w:pPr>
      <w:r w:rsidRPr="00690ED7">
        <w:t xml:space="preserve"> The result: surprises at steering meetings. Now, I consciously use tools like stakeholder maps and “managing up” check-ins — lessons reinforced by this course.</w:t>
      </w:r>
    </w:p>
    <w:p w14:paraId="7C2C3508" w14:textId="77777777" w:rsidR="00BB6957" w:rsidRDefault="00BB6957" w:rsidP="00BB6957">
      <w:pPr>
        <w:rPr>
          <w:b/>
          <w:bCs/>
          <w:color w:val="EE0000"/>
        </w:rPr>
      </w:pPr>
    </w:p>
    <w:p w14:paraId="349D45AA" w14:textId="078E6102" w:rsidR="00BB6957" w:rsidRPr="00690ED7" w:rsidRDefault="00BB6957" w:rsidP="00BB6957">
      <w:pPr>
        <w:rPr>
          <w:b/>
          <w:bCs/>
          <w:color w:val="EE0000"/>
        </w:rPr>
      </w:pPr>
      <w:r w:rsidRPr="00690ED7">
        <w:rPr>
          <w:b/>
          <w:bCs/>
          <w:color w:val="EE0000"/>
        </w:rPr>
        <w:t>September 17, 2025 – Leading Teams and Optimizing Team Performance</w:t>
      </w:r>
    </w:p>
    <w:p w14:paraId="1086576A" w14:textId="77777777" w:rsidR="00BB6957" w:rsidRPr="00690ED7" w:rsidRDefault="00BB6957" w:rsidP="00BB6957">
      <w:r w:rsidRPr="00690ED7">
        <w:rPr>
          <w:b/>
          <w:bCs/>
        </w:rPr>
        <w:t>Key Learnings:</w:t>
      </w:r>
    </w:p>
    <w:p w14:paraId="0CD42A05" w14:textId="77777777" w:rsidR="00BB6957" w:rsidRDefault="00BB6957" w:rsidP="00BB6957">
      <w:pPr>
        <w:numPr>
          <w:ilvl w:val="0"/>
          <w:numId w:val="19"/>
        </w:numPr>
        <w:spacing w:after="0" w:line="278" w:lineRule="auto"/>
      </w:pPr>
      <w:r w:rsidRPr="00690ED7">
        <w:rPr>
          <w:b/>
          <w:bCs/>
        </w:rPr>
        <w:t>Senior Team Dynamics</w:t>
      </w:r>
      <w:r w:rsidRPr="00690ED7">
        <w:t xml:space="preserve"> – Linda Hill’s note showed that effective teams must balance output, member satisfaction, and learning/adaptability. </w:t>
      </w:r>
    </w:p>
    <w:p w14:paraId="425CB13F" w14:textId="77777777" w:rsidR="00BB6957" w:rsidRPr="00690ED7" w:rsidRDefault="00BB6957" w:rsidP="00BB6957">
      <w:pPr>
        <w:spacing w:after="0"/>
        <w:ind w:left="720"/>
      </w:pPr>
      <w:r w:rsidRPr="00690ED7">
        <w:t xml:space="preserve">Many </w:t>
      </w:r>
      <w:proofErr w:type="gramStart"/>
      <w:r w:rsidRPr="00690ED7">
        <w:t>fail</w:t>
      </w:r>
      <w:proofErr w:type="gramEnd"/>
      <w:r w:rsidRPr="00690ED7">
        <w:t xml:space="preserve"> because of rivalries, groupthink, or fragmentation.</w:t>
      </w:r>
    </w:p>
    <w:p w14:paraId="790896E6" w14:textId="77777777" w:rsidR="00BB6957" w:rsidRPr="00690ED7" w:rsidRDefault="00BB6957" w:rsidP="00BB6957">
      <w:pPr>
        <w:numPr>
          <w:ilvl w:val="0"/>
          <w:numId w:val="19"/>
        </w:numPr>
        <w:spacing w:after="0" w:line="278" w:lineRule="auto"/>
      </w:pPr>
      <w:r w:rsidRPr="00690ED7">
        <w:rPr>
          <w:b/>
          <w:bCs/>
        </w:rPr>
        <w:t>Workgroup Model</w:t>
      </w:r>
      <w:r w:rsidRPr="00690ED7">
        <w:t xml:space="preserve"> – Teams aren’t static; they evolve through design, context, and process</w:t>
      </w:r>
    </w:p>
    <w:p w14:paraId="5991EDAA" w14:textId="77777777" w:rsidR="00BB6957" w:rsidRPr="00690ED7" w:rsidRDefault="00BB6957" w:rsidP="00BB6957">
      <w:pPr>
        <w:numPr>
          <w:ilvl w:val="0"/>
          <w:numId w:val="19"/>
        </w:numPr>
        <w:spacing w:after="0" w:line="278" w:lineRule="auto"/>
      </w:pPr>
      <w:r w:rsidRPr="00690ED7">
        <w:rPr>
          <w:b/>
          <w:bCs/>
        </w:rPr>
        <w:t>Teaming at Disney Animation</w:t>
      </w:r>
      <w:r w:rsidRPr="00690ED7">
        <w:t xml:space="preserve"> – Geibel and Johnson’s restructuring highlighted the value of flattening hierarchy, trust, and psychological safety for innovation</w:t>
      </w:r>
    </w:p>
    <w:p w14:paraId="4E577331" w14:textId="77777777" w:rsidR="00BB6957" w:rsidRDefault="00BB6957" w:rsidP="00BB6957">
      <w:pPr>
        <w:spacing w:after="0"/>
        <w:rPr>
          <w:b/>
          <w:bCs/>
        </w:rPr>
      </w:pPr>
    </w:p>
    <w:p w14:paraId="0BEAEFE0" w14:textId="77777777" w:rsidR="00BB6957" w:rsidRPr="00690ED7" w:rsidRDefault="00BB6957" w:rsidP="00BB6957">
      <w:pPr>
        <w:spacing w:after="0"/>
      </w:pPr>
      <w:r w:rsidRPr="00690ED7">
        <w:rPr>
          <w:b/>
          <w:bCs/>
        </w:rPr>
        <w:t>Personal Reflection (TD Bank connection):</w:t>
      </w:r>
      <w:r w:rsidRPr="00690ED7">
        <w:br/>
        <w:t>These insights hit home because in TD’s Digitization &amp; Automation group, I lead cross-functional pods (RPA developers, analysts, compliance, offshore vendors). Rivalry and fragmentation often surface — e.g., IT vs. business vs. compliance. Hill’s framework showed me that my responsibility is twofold: manage the team boundary (align external stakeholders like Risk, Operations, and CPB leadership) and manage the team itself (design rituals like retros and daily huddles).</w:t>
      </w:r>
    </w:p>
    <w:p w14:paraId="4F012C61" w14:textId="77777777" w:rsidR="00BB6957" w:rsidRPr="00690ED7" w:rsidRDefault="00BB6957" w:rsidP="00BB6957">
      <w:pPr>
        <w:spacing w:after="0"/>
      </w:pPr>
      <w:r w:rsidRPr="00690ED7">
        <w:t xml:space="preserve">The Disney case resonated deeply. Just as Geibel flattened hierarchies to foster collaboration between artists and engineers, I have seen success when I moved from “command-and-control” to </w:t>
      </w:r>
      <w:r w:rsidRPr="00690ED7">
        <w:rPr>
          <w:b/>
          <w:bCs/>
        </w:rPr>
        <w:t>empowerment and trust</w:t>
      </w:r>
      <w:r w:rsidRPr="00690ED7">
        <w:t>. In one Blue Prism initiative, instead of micromanaging, I created open forums where developers could challenge my assumptions. The result: we discovered a compliance risk earlier than expected, saving rework and credibility with regulators.</w:t>
      </w:r>
    </w:p>
    <w:p w14:paraId="7B10746E" w14:textId="77777777" w:rsidR="00BB6957" w:rsidRPr="00690ED7" w:rsidRDefault="00BB6957" w:rsidP="00BB6957">
      <w:pPr>
        <w:rPr>
          <w:b/>
          <w:bCs/>
          <w:color w:val="EE0000"/>
        </w:rPr>
      </w:pPr>
      <w:r w:rsidRPr="00690ED7">
        <w:rPr>
          <w:b/>
          <w:bCs/>
          <w:color w:val="EE0000"/>
        </w:rPr>
        <w:t>September 18, 2025 – Dysfunctional Team Dynamics</w:t>
      </w:r>
    </w:p>
    <w:p w14:paraId="414F8F14" w14:textId="77777777" w:rsidR="00BB6957" w:rsidRPr="00690ED7" w:rsidRDefault="00BB6957" w:rsidP="00BB6957">
      <w:pPr>
        <w:spacing w:after="0"/>
      </w:pPr>
      <w:r w:rsidRPr="00690ED7">
        <w:rPr>
          <w:b/>
          <w:bCs/>
        </w:rPr>
        <w:t>Key Learnings:</w:t>
      </w:r>
    </w:p>
    <w:p w14:paraId="2430DA7E" w14:textId="77777777" w:rsidR="00BB6957" w:rsidRPr="00690ED7" w:rsidRDefault="00BB6957" w:rsidP="00BB6957">
      <w:pPr>
        <w:numPr>
          <w:ilvl w:val="0"/>
          <w:numId w:val="20"/>
        </w:numPr>
        <w:tabs>
          <w:tab w:val="clear" w:pos="360"/>
          <w:tab w:val="num" w:pos="720"/>
        </w:tabs>
        <w:spacing w:after="0" w:line="278" w:lineRule="auto"/>
      </w:pPr>
      <w:r w:rsidRPr="00690ED7">
        <w:rPr>
          <w:b/>
          <w:bCs/>
        </w:rPr>
        <w:t>Dysfunctional Momentum</w:t>
      </w:r>
      <w:r w:rsidRPr="00690ED7">
        <w:t xml:space="preserve"> – Barton &amp; Sutcliffe showed how teams, like wildfire crews, can persist blindly even when signals suggest stopping or </w:t>
      </w:r>
      <w:proofErr w:type="gramStart"/>
      <w:r w:rsidRPr="00690ED7">
        <w:t>pivoting .</w:t>
      </w:r>
      <w:proofErr w:type="gramEnd"/>
    </w:p>
    <w:p w14:paraId="013AE0A7" w14:textId="77777777" w:rsidR="00BB6957" w:rsidRPr="00690ED7" w:rsidRDefault="00BB6957" w:rsidP="00BB6957">
      <w:pPr>
        <w:numPr>
          <w:ilvl w:val="0"/>
          <w:numId w:val="20"/>
        </w:numPr>
        <w:tabs>
          <w:tab w:val="clear" w:pos="360"/>
          <w:tab w:val="num" w:pos="720"/>
        </w:tabs>
        <w:spacing w:after="0" w:line="278" w:lineRule="auto"/>
      </w:pPr>
      <w:r w:rsidRPr="00690ED7">
        <w:rPr>
          <w:b/>
          <w:bCs/>
        </w:rPr>
        <w:t>Constructive Conflict</w:t>
      </w:r>
      <w:r w:rsidRPr="00690ED7">
        <w:t xml:space="preserve"> – Eisenhardt et al. argued that “a good fight” (facts-based, issue-focused) helps teams make better decisions</w:t>
      </w:r>
    </w:p>
    <w:p w14:paraId="4AC92814" w14:textId="77777777" w:rsidR="00BB6957" w:rsidRPr="00690ED7" w:rsidRDefault="00BB6957" w:rsidP="00BB6957">
      <w:pPr>
        <w:numPr>
          <w:ilvl w:val="0"/>
          <w:numId w:val="20"/>
        </w:numPr>
        <w:spacing w:after="0" w:line="278" w:lineRule="auto"/>
      </w:pPr>
      <w:r w:rsidRPr="00690ED7">
        <w:rPr>
          <w:b/>
          <w:bCs/>
        </w:rPr>
        <w:t>Psychological Safety in Conflict</w:t>
      </w:r>
      <w:r w:rsidRPr="00690ED7">
        <w:t xml:space="preserve"> – The art is separating </w:t>
      </w:r>
      <w:r w:rsidRPr="00690ED7">
        <w:rPr>
          <w:b/>
          <w:bCs/>
        </w:rPr>
        <w:t>the person from the problem</w:t>
      </w:r>
      <w:r w:rsidRPr="00690ED7">
        <w:t>, using humor, multiple options, and shared goals to depersonalize disagreements</w:t>
      </w:r>
    </w:p>
    <w:p w14:paraId="22137710" w14:textId="77777777" w:rsidR="00BB6957" w:rsidRDefault="00BB6957" w:rsidP="00BB6957">
      <w:pPr>
        <w:spacing w:after="0"/>
        <w:rPr>
          <w:b/>
          <w:bCs/>
        </w:rPr>
      </w:pPr>
    </w:p>
    <w:p w14:paraId="5FCB600D" w14:textId="77777777" w:rsidR="00BB6957" w:rsidRPr="00690ED7" w:rsidRDefault="00BB6957" w:rsidP="00BB6957">
      <w:pPr>
        <w:spacing w:after="0"/>
      </w:pPr>
      <w:r w:rsidRPr="00690ED7">
        <w:rPr>
          <w:b/>
          <w:bCs/>
        </w:rPr>
        <w:t>Personal Reflection (TD Bank connection):</w:t>
      </w:r>
      <w:r w:rsidRPr="00690ED7">
        <w:br/>
        <w:t xml:space="preserve">I recognized dysfunctional momentum in automation rollouts. At times, we kept pushing bots into production even when error rates showed underlying process design issues. We were “too deep in execution mode” to pause. This reading made me realize the importance of </w:t>
      </w:r>
      <w:r w:rsidRPr="00690ED7">
        <w:rPr>
          <w:b/>
          <w:bCs/>
        </w:rPr>
        <w:t>building in structured pauses</w:t>
      </w:r>
      <w:r w:rsidRPr="00690ED7">
        <w:t xml:space="preserve"> — checkpoints where we ask, “Do we pivot or stop?”</w:t>
      </w:r>
    </w:p>
    <w:p w14:paraId="1830B841" w14:textId="77777777" w:rsidR="00BB6957" w:rsidRPr="00690ED7" w:rsidRDefault="00BB6957" w:rsidP="00BB6957">
      <w:pPr>
        <w:spacing w:after="0"/>
      </w:pPr>
      <w:r w:rsidRPr="00690ED7">
        <w:t xml:space="preserve">Equally, constructive conflict is something I’m learning to value. In TD Wealth data strategy, I initially avoided conflicts, preferring harmony. But harmony without candor led to poor design choices. Now, I consciously encourage </w:t>
      </w:r>
      <w:r w:rsidRPr="00690ED7">
        <w:rPr>
          <w:b/>
          <w:bCs/>
        </w:rPr>
        <w:t>issue-based debate</w:t>
      </w:r>
      <w:r w:rsidRPr="00690ED7">
        <w:t xml:space="preserve"> — e.g., in API testing projects, I invite architects and testers to challenge assumptions openly, reminding them it’s not personal. Humor also helps — I often defuse tense meetings with a playful remark about bots “rebelling.”</w:t>
      </w:r>
    </w:p>
    <w:p w14:paraId="20194DD0" w14:textId="77777777" w:rsidR="00BB6957" w:rsidRPr="00690ED7" w:rsidRDefault="00BB6957" w:rsidP="00BB6957">
      <w:pPr>
        <w:spacing w:after="0"/>
      </w:pPr>
    </w:p>
    <w:p w14:paraId="05CAE0E2" w14:textId="77777777" w:rsidR="00BB6957" w:rsidRPr="00690ED7" w:rsidRDefault="00BB6957" w:rsidP="00BB6957">
      <w:pPr>
        <w:rPr>
          <w:b/>
          <w:bCs/>
          <w:color w:val="EE0000"/>
        </w:rPr>
      </w:pPr>
      <w:r w:rsidRPr="00690ED7">
        <w:rPr>
          <w:b/>
          <w:bCs/>
          <w:color w:val="EE0000"/>
        </w:rPr>
        <w:t>Placeholder for September 19–20</w:t>
      </w:r>
    </w:p>
    <w:p w14:paraId="5321FA0B" w14:textId="77777777" w:rsidR="00BB6957" w:rsidRPr="00690ED7" w:rsidRDefault="00BB6957" w:rsidP="00BB6957">
      <w:pPr>
        <w:spacing w:after="0"/>
      </w:pPr>
      <w:r w:rsidRPr="00690ED7">
        <w:t xml:space="preserve">(You can later add reflections on </w:t>
      </w:r>
      <w:r w:rsidRPr="00690ED7">
        <w:rPr>
          <w:b/>
          <w:bCs/>
        </w:rPr>
        <w:t>Leading Teams in a Changing World</w:t>
      </w:r>
      <w:r w:rsidRPr="00690ED7">
        <w:t xml:space="preserve">, </w:t>
      </w:r>
      <w:r w:rsidRPr="00690ED7">
        <w:rPr>
          <w:b/>
          <w:bCs/>
        </w:rPr>
        <w:t>Working in Virtual Teams</w:t>
      </w:r>
      <w:r w:rsidRPr="00690ED7">
        <w:t xml:space="preserve">, and </w:t>
      </w:r>
      <w:r w:rsidRPr="00690ED7">
        <w:rPr>
          <w:b/>
          <w:bCs/>
        </w:rPr>
        <w:t>Leading Learning Organizations</w:t>
      </w:r>
      <w:r w:rsidRPr="00690ED7">
        <w:t>. These will link to your TD virtual collaboration experiences and your aspiration to build a learning organization through AI-driven product innovation.)</w:t>
      </w:r>
    </w:p>
    <w:p w14:paraId="59825DD3" w14:textId="77777777" w:rsidR="00BB6957" w:rsidRPr="00690ED7" w:rsidRDefault="00BB6957" w:rsidP="00BB6957">
      <w:pPr>
        <w:spacing w:after="0"/>
      </w:pPr>
    </w:p>
    <w:p w14:paraId="79563BB8" w14:textId="77777777" w:rsidR="00BB6957" w:rsidRPr="00690ED7" w:rsidRDefault="00BB6957" w:rsidP="00BB6957">
      <w:pPr>
        <w:spacing w:after="0"/>
        <w:rPr>
          <w:b/>
          <w:bCs/>
        </w:rPr>
      </w:pPr>
      <w:r w:rsidRPr="00690ED7">
        <w:rPr>
          <w:b/>
          <w:bCs/>
        </w:rPr>
        <w:t>Conclusion</w:t>
      </w:r>
    </w:p>
    <w:p w14:paraId="7C3DFA66" w14:textId="77777777" w:rsidR="00BB6957" w:rsidRPr="00690ED7" w:rsidRDefault="00BB6957" w:rsidP="00BB6957">
      <w:pPr>
        <w:spacing w:after="0"/>
      </w:pPr>
      <w:r w:rsidRPr="00690ED7">
        <w:t>This course reshaped how I see leadership:</w:t>
      </w:r>
    </w:p>
    <w:p w14:paraId="70BC254B" w14:textId="77777777" w:rsidR="00BB6957" w:rsidRPr="00690ED7" w:rsidRDefault="00BB6957" w:rsidP="00BB6957">
      <w:pPr>
        <w:numPr>
          <w:ilvl w:val="0"/>
          <w:numId w:val="21"/>
        </w:numPr>
        <w:spacing w:after="0" w:line="278" w:lineRule="auto"/>
      </w:pPr>
      <w:r w:rsidRPr="00690ED7">
        <w:t>It is not about control, but about enabling change (Kotter).</w:t>
      </w:r>
    </w:p>
    <w:p w14:paraId="7CEFB364" w14:textId="77777777" w:rsidR="00BB6957" w:rsidRPr="00690ED7" w:rsidRDefault="00BB6957" w:rsidP="00BB6957">
      <w:pPr>
        <w:numPr>
          <w:ilvl w:val="0"/>
          <w:numId w:val="21"/>
        </w:numPr>
        <w:spacing w:after="0" w:line="278" w:lineRule="auto"/>
      </w:pPr>
      <w:r w:rsidRPr="00690ED7">
        <w:t>It is not about personal heroics, but about boundary and process management (Hill, Peterson).</w:t>
      </w:r>
    </w:p>
    <w:p w14:paraId="12C1FAFE" w14:textId="77777777" w:rsidR="00BB6957" w:rsidRPr="00690ED7" w:rsidRDefault="00BB6957" w:rsidP="00BB6957">
      <w:pPr>
        <w:numPr>
          <w:ilvl w:val="0"/>
          <w:numId w:val="21"/>
        </w:numPr>
        <w:spacing w:after="0" w:line="278" w:lineRule="auto"/>
      </w:pPr>
      <w:r w:rsidRPr="00690ED7">
        <w:t>It is not about harmony, but about using conflict and momentum wisely (Eisenhardt, Barton).</w:t>
      </w:r>
    </w:p>
    <w:p w14:paraId="36C698E6" w14:textId="77777777" w:rsidR="00BB6957" w:rsidRPr="00690ED7" w:rsidRDefault="00BB6957" w:rsidP="00BB6957">
      <w:pPr>
        <w:spacing w:after="0"/>
      </w:pPr>
      <w:r w:rsidRPr="00690ED7">
        <w:t>At TD Bank, these lessons are already reframing how I lead automation, data, and AI initiatives. As I grow into broader leadership roles, I will use these takeaways to align people, build trust, and avoid the traps of dysfunctional teams.</w:t>
      </w:r>
    </w:p>
    <w:p w14:paraId="7BE472FD" w14:textId="77777777" w:rsidR="00BB6957" w:rsidRDefault="00BB6957" w:rsidP="00BB6957">
      <w:pPr>
        <w:spacing w:after="0"/>
      </w:pPr>
    </w:p>
    <w:p w14:paraId="3B923D9C" w14:textId="2369A965" w:rsidR="0006771F" w:rsidRPr="00BB6957" w:rsidRDefault="0006771F" w:rsidP="00046665">
      <w:pPr>
        <w:rPr>
          <w:noProof/>
          <w:lang w:eastAsia="en-CA"/>
        </w:rPr>
      </w:pPr>
    </w:p>
    <w:p w14:paraId="27944463" w14:textId="7E104262" w:rsidR="005B4FC2" w:rsidRDefault="005B4FC2" w:rsidP="00046665">
      <w:pPr>
        <w:rPr>
          <w:noProof/>
          <w:lang w:val="en-CA" w:eastAsia="en-CA"/>
        </w:rPr>
      </w:pPr>
    </w:p>
    <w:p w14:paraId="50CFA130" w14:textId="48678461" w:rsidR="005B4FC2" w:rsidRDefault="005B4FC2" w:rsidP="00046665">
      <w:pPr>
        <w:rPr>
          <w:noProof/>
          <w:lang w:val="en-CA" w:eastAsia="en-CA"/>
        </w:rPr>
      </w:pPr>
    </w:p>
    <w:p w14:paraId="464E6431" w14:textId="4866754E" w:rsidR="005B4FC2" w:rsidRDefault="005B4FC2" w:rsidP="00046665">
      <w:pPr>
        <w:rPr>
          <w:noProof/>
          <w:lang w:val="en-CA" w:eastAsia="en-CA"/>
        </w:rPr>
      </w:pPr>
    </w:p>
    <w:p w14:paraId="1DAF1272" w14:textId="60636279" w:rsidR="005B4FC2" w:rsidRDefault="005B4FC2" w:rsidP="00046665">
      <w:pPr>
        <w:rPr>
          <w:noProof/>
          <w:lang w:val="en-CA" w:eastAsia="en-CA"/>
        </w:rPr>
      </w:pPr>
    </w:p>
    <w:p w14:paraId="5FC5AB99" w14:textId="3D54FF26" w:rsidR="005B4FC2" w:rsidRDefault="005B4FC2" w:rsidP="00046665">
      <w:pPr>
        <w:rPr>
          <w:noProof/>
          <w:lang w:val="en-CA" w:eastAsia="en-CA"/>
        </w:rPr>
      </w:pPr>
    </w:p>
    <w:p w14:paraId="00CD243C" w14:textId="58F3B397" w:rsidR="005B4FC2" w:rsidRDefault="005B4FC2" w:rsidP="00046665">
      <w:pPr>
        <w:rPr>
          <w:noProof/>
          <w:lang w:val="en-CA" w:eastAsia="en-CA"/>
        </w:rPr>
      </w:pPr>
    </w:p>
    <w:p w14:paraId="183D7EA0" w14:textId="77777777" w:rsidR="005B4FC2" w:rsidRDefault="005B4FC2" w:rsidP="00046665">
      <w:pPr>
        <w:rPr>
          <w:noProof/>
          <w:lang w:val="en-CA" w:eastAsia="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6"/>
        <w:gridCol w:w="2202"/>
        <w:gridCol w:w="2146"/>
        <w:gridCol w:w="2146"/>
      </w:tblGrid>
      <w:tr w:rsidR="00C97D4B" w14:paraId="18F36E9A" w14:textId="77777777" w:rsidTr="00C97D4B">
        <w:trPr>
          <w:jc w:val="center"/>
        </w:trPr>
        <w:tc>
          <w:tcPr>
            <w:tcW w:w="2146" w:type="dxa"/>
          </w:tcPr>
          <w:p w14:paraId="2E24DACA" w14:textId="77777777" w:rsidR="00C97D4B" w:rsidRDefault="00C97D4B" w:rsidP="00640229">
            <w:r>
              <w:br w:type="page"/>
            </w:r>
          </w:p>
        </w:tc>
        <w:tc>
          <w:tcPr>
            <w:tcW w:w="4348" w:type="dxa"/>
            <w:gridSpan w:val="2"/>
          </w:tcPr>
          <w:p w14:paraId="56EA54AB" w14:textId="77777777" w:rsidR="00C97D4B" w:rsidRPr="00B82F72" w:rsidRDefault="00C97D4B" w:rsidP="00640229">
            <w:pPr>
              <w:pStyle w:val="CM3"/>
              <w:jc w:val="center"/>
              <w:rPr>
                <w:rFonts w:cs="Century Gothic"/>
                <w:b/>
                <w:bCs/>
                <w:sz w:val="48"/>
                <w:szCs w:val="48"/>
              </w:rPr>
            </w:pPr>
            <w:r w:rsidRPr="00B82F72">
              <w:rPr>
                <w:rFonts w:cs="Century Gothic"/>
                <w:b/>
                <w:bCs/>
                <w:sz w:val="48"/>
                <w:szCs w:val="48"/>
              </w:rPr>
              <w:t>Final</w:t>
            </w:r>
            <w:r>
              <w:rPr>
                <w:rFonts w:cs="Century Gothic"/>
                <w:b/>
                <w:bCs/>
                <w:sz w:val="48"/>
                <w:szCs w:val="48"/>
              </w:rPr>
              <w:t xml:space="preserve"> Page</w:t>
            </w:r>
          </w:p>
        </w:tc>
        <w:tc>
          <w:tcPr>
            <w:tcW w:w="2146" w:type="dxa"/>
          </w:tcPr>
          <w:p w14:paraId="76BF036D" w14:textId="77777777" w:rsidR="00C97D4B" w:rsidRDefault="00C97D4B" w:rsidP="00640229"/>
        </w:tc>
      </w:tr>
      <w:tr w:rsidR="00C97D4B" w14:paraId="0B2B57EB" w14:textId="77777777" w:rsidTr="00C97D4B">
        <w:trPr>
          <w:jc w:val="center"/>
        </w:trPr>
        <w:tc>
          <w:tcPr>
            <w:tcW w:w="2146" w:type="dxa"/>
          </w:tcPr>
          <w:p w14:paraId="4DE6C31D" w14:textId="77777777" w:rsidR="00C97D4B" w:rsidRDefault="00C97D4B" w:rsidP="00640229"/>
        </w:tc>
        <w:tc>
          <w:tcPr>
            <w:tcW w:w="2202" w:type="dxa"/>
          </w:tcPr>
          <w:p w14:paraId="28D82014" w14:textId="77777777" w:rsidR="00C97D4B" w:rsidRPr="00B82F72" w:rsidRDefault="00C97D4B" w:rsidP="00640229">
            <w:pPr>
              <w:pStyle w:val="CM3"/>
              <w:rPr>
                <w:rFonts w:cs="Century Gothic"/>
                <w:b/>
                <w:bCs/>
                <w:sz w:val="48"/>
                <w:szCs w:val="48"/>
              </w:rPr>
            </w:pPr>
          </w:p>
        </w:tc>
        <w:tc>
          <w:tcPr>
            <w:tcW w:w="2146" w:type="dxa"/>
          </w:tcPr>
          <w:p w14:paraId="0653725D" w14:textId="77777777" w:rsidR="00C97D4B" w:rsidRPr="00B82F72" w:rsidRDefault="00C97D4B" w:rsidP="00640229">
            <w:pPr>
              <w:pStyle w:val="CM3"/>
              <w:rPr>
                <w:rFonts w:cs="Century Gothic"/>
                <w:b/>
                <w:bCs/>
                <w:sz w:val="48"/>
                <w:szCs w:val="48"/>
              </w:rPr>
            </w:pPr>
          </w:p>
        </w:tc>
        <w:tc>
          <w:tcPr>
            <w:tcW w:w="2146" w:type="dxa"/>
          </w:tcPr>
          <w:p w14:paraId="4A571E1F" w14:textId="77777777" w:rsidR="00C97D4B" w:rsidRDefault="00C97D4B" w:rsidP="00640229"/>
        </w:tc>
      </w:tr>
      <w:tr w:rsidR="00C97D4B" w:rsidRPr="00B82F72" w14:paraId="1E25A68B" w14:textId="77777777" w:rsidTr="00C97D4B">
        <w:trPr>
          <w:jc w:val="center"/>
        </w:trPr>
        <w:tc>
          <w:tcPr>
            <w:tcW w:w="2146" w:type="dxa"/>
          </w:tcPr>
          <w:p w14:paraId="18D87EE2" w14:textId="77777777" w:rsidR="00C97D4B" w:rsidRPr="00B82F72" w:rsidRDefault="00C97D4B" w:rsidP="00640229">
            <w:pPr>
              <w:pStyle w:val="CM3"/>
              <w:rPr>
                <w:rFonts w:cs="Century Gothic"/>
                <w:b/>
                <w:bCs/>
                <w:sz w:val="48"/>
                <w:szCs w:val="48"/>
              </w:rPr>
            </w:pPr>
          </w:p>
        </w:tc>
        <w:tc>
          <w:tcPr>
            <w:tcW w:w="2202" w:type="dxa"/>
          </w:tcPr>
          <w:p w14:paraId="44885388" w14:textId="77777777" w:rsidR="00C97D4B" w:rsidRPr="00B82F72" w:rsidRDefault="00C97D4B" w:rsidP="00640229">
            <w:pPr>
              <w:pStyle w:val="CM3"/>
              <w:jc w:val="right"/>
              <w:rPr>
                <w:rFonts w:cs="Century Gothic"/>
                <w:b/>
                <w:bCs/>
                <w:sz w:val="48"/>
                <w:szCs w:val="48"/>
              </w:rPr>
            </w:pPr>
            <w:r w:rsidRPr="00B82F72">
              <w:rPr>
                <w:rFonts w:cs="Century Gothic"/>
                <w:b/>
                <w:bCs/>
                <w:sz w:val="48"/>
                <w:szCs w:val="48"/>
              </w:rPr>
              <w:t>Grade:</w:t>
            </w:r>
          </w:p>
        </w:tc>
        <w:tc>
          <w:tcPr>
            <w:tcW w:w="2146" w:type="dxa"/>
            <w:tcBorders>
              <w:bottom w:val="single" w:sz="4" w:space="0" w:color="auto"/>
            </w:tcBorders>
          </w:tcPr>
          <w:p w14:paraId="3CF9616C" w14:textId="77777777" w:rsidR="00C97D4B" w:rsidRPr="00B82F72" w:rsidRDefault="00C97D4B" w:rsidP="00640229">
            <w:pPr>
              <w:pStyle w:val="CM3"/>
              <w:rPr>
                <w:rFonts w:cs="Century Gothic"/>
                <w:b/>
                <w:bCs/>
                <w:sz w:val="48"/>
                <w:szCs w:val="48"/>
              </w:rPr>
            </w:pPr>
          </w:p>
        </w:tc>
        <w:tc>
          <w:tcPr>
            <w:tcW w:w="2146" w:type="dxa"/>
          </w:tcPr>
          <w:p w14:paraId="461B3DFB" w14:textId="77777777" w:rsidR="00C97D4B" w:rsidRPr="00B82F72" w:rsidRDefault="00C97D4B" w:rsidP="00640229">
            <w:pPr>
              <w:pStyle w:val="CM3"/>
              <w:rPr>
                <w:rFonts w:cs="Century Gothic"/>
                <w:b/>
                <w:bCs/>
                <w:sz w:val="48"/>
                <w:szCs w:val="48"/>
              </w:rPr>
            </w:pPr>
          </w:p>
        </w:tc>
      </w:tr>
    </w:tbl>
    <w:p w14:paraId="5C01225C" w14:textId="77777777" w:rsidR="00506F6A" w:rsidRDefault="00506F6A" w:rsidP="00046665">
      <w:pPr>
        <w:rPr>
          <w:noProof/>
          <w:lang w:val="en-CA" w:eastAsia="en-CA"/>
        </w:rPr>
      </w:pPr>
    </w:p>
    <w:bookmarkEnd w:id="0"/>
    <w:bookmarkEnd w:id="1"/>
    <w:p w14:paraId="73B48767" w14:textId="77777777" w:rsidR="00D8380C" w:rsidRPr="003C3324" w:rsidRDefault="00D8380C" w:rsidP="00316488">
      <w:pPr>
        <w:rPr>
          <w:b/>
          <w:vanish/>
          <w:color w:val="FF0000"/>
          <w:sz w:val="24"/>
          <w:lang w:val="en-CA"/>
        </w:rPr>
      </w:pPr>
      <w:r w:rsidRPr="003C3324">
        <w:rPr>
          <w:b/>
          <w:vanish/>
          <w:color w:val="FF0000"/>
          <w:sz w:val="24"/>
          <w:lang w:val="en-CA"/>
        </w:rPr>
        <w:t>Please PDF before posting.</w:t>
      </w:r>
    </w:p>
    <w:sectPr w:rsidR="00D8380C" w:rsidRPr="003C3324" w:rsidSect="00BF5A7F">
      <w:headerReference w:type="even" r:id="rId15"/>
      <w:headerReference w:type="default" r:id="rId16"/>
      <w:footerReference w:type="default" r:id="rId17"/>
      <w:headerReference w:type="first" r:id="rId18"/>
      <w:footerReference w:type="first" r:id="rId19"/>
      <w:pgSz w:w="12240" w:h="15840" w:code="1"/>
      <w:pgMar w:top="1872" w:right="1080" w:bottom="1080" w:left="1080" w:header="720" w:footer="4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B4277" w14:textId="77777777" w:rsidR="00681B55" w:rsidRDefault="00681B55" w:rsidP="00BF6DB5">
      <w:r>
        <w:separator/>
      </w:r>
    </w:p>
    <w:p w14:paraId="54A1AB8B" w14:textId="77777777" w:rsidR="00681B55" w:rsidRDefault="00681B55"/>
    <w:p w14:paraId="593EC4F1" w14:textId="77777777" w:rsidR="00681B55" w:rsidRDefault="00681B55" w:rsidP="003157D0"/>
  </w:endnote>
  <w:endnote w:type="continuationSeparator" w:id="0">
    <w:p w14:paraId="6817EFA4" w14:textId="77777777" w:rsidR="00681B55" w:rsidRDefault="00681B55" w:rsidP="00BF6DB5">
      <w:r>
        <w:continuationSeparator/>
      </w:r>
    </w:p>
    <w:p w14:paraId="79515791" w14:textId="77777777" w:rsidR="00681B55" w:rsidRDefault="00681B55"/>
    <w:p w14:paraId="40995295" w14:textId="77777777" w:rsidR="00681B55" w:rsidRDefault="00681B55" w:rsidP="00315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43914"/>
      <w:docPartObj>
        <w:docPartGallery w:val="Page Numbers (Bottom of Page)"/>
        <w:docPartUnique/>
      </w:docPartObj>
    </w:sdtPr>
    <w:sdtEndPr>
      <w:rPr>
        <w:noProof/>
      </w:rPr>
    </w:sdtEndPr>
    <w:sdtContent>
      <w:p w14:paraId="0E303EB3" w14:textId="77777777" w:rsidR="003C3324" w:rsidRDefault="003F5D33" w:rsidP="003F5D33">
        <w:pPr>
          <w:pStyle w:val="Footer"/>
          <w:tabs>
            <w:tab w:val="clear" w:pos="4680"/>
            <w:tab w:val="clear" w:pos="9360"/>
            <w:tab w:val="right" w:pos="10080"/>
          </w:tabs>
        </w:pPr>
        <w:r w:rsidRPr="004A3FA2">
          <w:rPr>
            <w:rFonts w:cs="Arial"/>
            <w:vanish/>
            <w:color w:val="FF0000"/>
            <w:szCs w:val="20"/>
            <w:lang w:eastAsia="en-US"/>
          </w:rPr>
          <w:t>You may delete fields and content controls as you wish by right-clicking within the field and choose “Remove Content Control”</w:t>
        </w:r>
        <w:r>
          <w:rPr>
            <w:rFonts w:cs="Arial"/>
            <w:vanish/>
            <w:color w:val="FF0000"/>
            <w:szCs w:val="20"/>
            <w:lang w:eastAsia="en-US"/>
          </w:rPr>
          <w:tab/>
        </w:r>
        <w:r w:rsidR="003C3324">
          <w:fldChar w:fldCharType="begin"/>
        </w:r>
        <w:r w:rsidR="003C3324">
          <w:instrText xml:space="preserve"> PAGE   \* MERGEFORMAT </w:instrText>
        </w:r>
        <w:r w:rsidR="003C3324">
          <w:fldChar w:fldCharType="separate"/>
        </w:r>
        <w:r w:rsidR="00F573E2">
          <w:rPr>
            <w:noProof/>
          </w:rPr>
          <w:t>2</w:t>
        </w:r>
        <w:r w:rsidR="003C3324">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1FFA6" w14:textId="77777777" w:rsidR="00BA6BF1" w:rsidRPr="004A3FA2" w:rsidRDefault="004A3FA2" w:rsidP="004A3FA2">
    <w:pPr>
      <w:pStyle w:val="Footer"/>
      <w:rPr>
        <w:vanish/>
        <w:color w:val="FF0000"/>
      </w:rPr>
    </w:pPr>
    <w:r w:rsidRPr="004A3FA2">
      <w:rPr>
        <w:rFonts w:cs="Arial"/>
        <w:vanish/>
        <w:color w:val="FF0000"/>
        <w:szCs w:val="20"/>
        <w:lang w:eastAsia="en-US"/>
      </w:rPr>
      <w:t>You may delete fields and content controls as you wish by right-clicking within the field and choose “Remove Content Control”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DEF2C" w14:textId="77777777" w:rsidR="00681B55" w:rsidRDefault="00681B55" w:rsidP="00BF6DB5">
      <w:r>
        <w:separator/>
      </w:r>
    </w:p>
    <w:p w14:paraId="336D4041" w14:textId="77777777" w:rsidR="00681B55" w:rsidRDefault="00681B55"/>
    <w:p w14:paraId="0146CC38" w14:textId="77777777" w:rsidR="00681B55" w:rsidRDefault="00681B55" w:rsidP="003157D0"/>
  </w:footnote>
  <w:footnote w:type="continuationSeparator" w:id="0">
    <w:p w14:paraId="09CE4F5B" w14:textId="77777777" w:rsidR="00681B55" w:rsidRDefault="00681B55" w:rsidP="00BF6DB5">
      <w:r>
        <w:continuationSeparator/>
      </w:r>
    </w:p>
    <w:p w14:paraId="4AC71DF4" w14:textId="77777777" w:rsidR="00681B55" w:rsidRDefault="00681B55"/>
    <w:p w14:paraId="53D4EB33" w14:textId="77777777" w:rsidR="00681B55" w:rsidRDefault="00681B55" w:rsidP="00315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D9E4D" w14:textId="77777777" w:rsidR="00553563" w:rsidRDefault="00553563" w:rsidP="007A49A3">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CEEAB51" w14:textId="77777777" w:rsidR="00553563" w:rsidRDefault="00553563" w:rsidP="00553563">
    <w:pPr>
      <w:pStyle w:val="Header"/>
      <w:ind w:firstLine="360"/>
    </w:pPr>
  </w:p>
  <w:p w14:paraId="2B2F16DF" w14:textId="77777777" w:rsidR="00AF68B2" w:rsidRDefault="00AF68B2"/>
  <w:p w14:paraId="488D37B0" w14:textId="77777777" w:rsidR="00AF68B2" w:rsidRDefault="00AF68B2" w:rsidP="003157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148B8" w14:textId="0927E0A5" w:rsidR="00C97D4B" w:rsidRDefault="00C97D4B">
    <w:pPr>
      <w:pStyle w:val="Header"/>
    </w:pPr>
    <w:r w:rsidRPr="00483674">
      <w:rPr>
        <w:noProof/>
        <w:lang w:val="en-CA" w:eastAsia="en-CA"/>
      </w:rPr>
      <w:drawing>
        <wp:inline distT="0" distB="0" distL="0" distR="0" wp14:anchorId="59E1C83F" wp14:editId="45CBFC77">
          <wp:extent cx="2159635" cy="34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2159635" cy="34861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D885" w14:textId="1FF47D81" w:rsidR="00BF6DB5" w:rsidRDefault="00725F0D" w:rsidP="00A6493C">
    <w:pPr>
      <w:pStyle w:val="Header"/>
      <w:tabs>
        <w:tab w:val="clear" w:pos="4680"/>
        <w:tab w:val="clear" w:pos="9360"/>
      </w:tabs>
      <w:ind w:left="-426"/>
    </w:pPr>
    <w:r>
      <w:t xml:space="preserve">        </w:t>
    </w:r>
    <w:r w:rsidR="006016D2" w:rsidRPr="00483674">
      <w:rPr>
        <w:noProof/>
        <w:lang w:val="en-CA" w:eastAsia="en-CA"/>
      </w:rPr>
      <w:drawing>
        <wp:inline distT="0" distB="0" distL="0" distR="0" wp14:anchorId="4BECBFDE" wp14:editId="66406033">
          <wp:extent cx="2159635" cy="348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2159635" cy="3486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A35"/>
    <w:multiLevelType w:val="multilevel"/>
    <w:tmpl w:val="99442F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3630FA"/>
    <w:multiLevelType w:val="hybridMultilevel"/>
    <w:tmpl w:val="6ACA5E2E"/>
    <w:lvl w:ilvl="0" w:tplc="DF182790">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BE15E29"/>
    <w:multiLevelType w:val="hybridMultilevel"/>
    <w:tmpl w:val="D0E0DA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6103E9"/>
    <w:multiLevelType w:val="hybridMultilevel"/>
    <w:tmpl w:val="606440DC"/>
    <w:lvl w:ilvl="0" w:tplc="04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912139"/>
    <w:multiLevelType w:val="multilevel"/>
    <w:tmpl w:val="780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05CF2"/>
    <w:multiLevelType w:val="hybridMultilevel"/>
    <w:tmpl w:val="FF227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965A0"/>
    <w:multiLevelType w:val="hybridMultilevel"/>
    <w:tmpl w:val="F4DA0E1A"/>
    <w:lvl w:ilvl="0" w:tplc="4564911E">
      <w:start w:val="1"/>
      <w:numFmt w:val="decimal"/>
      <w:pStyle w:val="ListParagraph"/>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A72421"/>
    <w:multiLevelType w:val="hybridMultilevel"/>
    <w:tmpl w:val="F60E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622C7"/>
    <w:multiLevelType w:val="multilevel"/>
    <w:tmpl w:val="D360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071CD"/>
    <w:multiLevelType w:val="hybridMultilevel"/>
    <w:tmpl w:val="1F06A1FE"/>
    <w:lvl w:ilvl="0" w:tplc="0C0EBEA6">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B9D3EE1"/>
    <w:multiLevelType w:val="hybridMultilevel"/>
    <w:tmpl w:val="0004CF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D4842F7"/>
    <w:multiLevelType w:val="multilevel"/>
    <w:tmpl w:val="9C7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5478E"/>
    <w:multiLevelType w:val="hybridMultilevel"/>
    <w:tmpl w:val="A44CA020"/>
    <w:lvl w:ilvl="0" w:tplc="7CFAF13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612515"/>
    <w:multiLevelType w:val="multilevel"/>
    <w:tmpl w:val="927A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90041"/>
    <w:multiLevelType w:val="hybridMultilevel"/>
    <w:tmpl w:val="D0E0DA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21B6D98"/>
    <w:multiLevelType w:val="hybridMultilevel"/>
    <w:tmpl w:val="0CB26EE4"/>
    <w:lvl w:ilvl="0" w:tplc="A6FEE55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5B10D16"/>
    <w:multiLevelType w:val="hybridMultilevel"/>
    <w:tmpl w:val="6EE6E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194DAE"/>
    <w:multiLevelType w:val="hybridMultilevel"/>
    <w:tmpl w:val="605AC520"/>
    <w:lvl w:ilvl="0" w:tplc="0A1C2C1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FD213AB"/>
    <w:multiLevelType w:val="multilevel"/>
    <w:tmpl w:val="705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B3184"/>
    <w:multiLevelType w:val="multilevel"/>
    <w:tmpl w:val="9D3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351861">
    <w:abstractNumId w:val="9"/>
  </w:num>
  <w:num w:numId="2" w16cid:durableId="1899323610">
    <w:abstractNumId w:val="3"/>
  </w:num>
  <w:num w:numId="3" w16cid:durableId="1825314609">
    <w:abstractNumId w:val="7"/>
  </w:num>
  <w:num w:numId="4" w16cid:durableId="186917072">
    <w:abstractNumId w:val="16"/>
  </w:num>
  <w:num w:numId="5" w16cid:durableId="622423086">
    <w:abstractNumId w:val="12"/>
  </w:num>
  <w:num w:numId="6" w16cid:durableId="1112626203">
    <w:abstractNumId w:val="5"/>
  </w:num>
  <w:num w:numId="7" w16cid:durableId="1682588046">
    <w:abstractNumId w:val="1"/>
  </w:num>
  <w:num w:numId="8" w16cid:durableId="1120605478">
    <w:abstractNumId w:val="14"/>
  </w:num>
  <w:num w:numId="9" w16cid:durableId="741412506">
    <w:abstractNumId w:val="15"/>
  </w:num>
  <w:num w:numId="10" w16cid:durableId="932083624">
    <w:abstractNumId w:val="17"/>
  </w:num>
  <w:num w:numId="11" w16cid:durableId="1023289873">
    <w:abstractNumId w:val="2"/>
  </w:num>
  <w:num w:numId="12" w16cid:durableId="1550536980">
    <w:abstractNumId w:val="6"/>
  </w:num>
  <w:num w:numId="13" w16cid:durableId="1919096036">
    <w:abstractNumId w:val="6"/>
    <w:lvlOverride w:ilvl="0">
      <w:startOverride w:val="1"/>
    </w:lvlOverride>
  </w:num>
  <w:num w:numId="14" w16cid:durableId="1582518276">
    <w:abstractNumId w:val="10"/>
  </w:num>
  <w:num w:numId="15" w16cid:durableId="363218654">
    <w:abstractNumId w:val="4"/>
  </w:num>
  <w:num w:numId="16" w16cid:durableId="791948015">
    <w:abstractNumId w:val="19"/>
  </w:num>
  <w:num w:numId="17" w16cid:durableId="1028288524">
    <w:abstractNumId w:val="11"/>
  </w:num>
  <w:num w:numId="18" w16cid:durableId="306279037">
    <w:abstractNumId w:val="6"/>
    <w:lvlOverride w:ilvl="0">
      <w:startOverride w:val="1"/>
    </w:lvlOverride>
  </w:num>
  <w:num w:numId="19" w16cid:durableId="381834652">
    <w:abstractNumId w:val="8"/>
  </w:num>
  <w:num w:numId="20" w16cid:durableId="1397971522">
    <w:abstractNumId w:val="0"/>
  </w:num>
  <w:num w:numId="21" w16cid:durableId="1347446371">
    <w:abstractNumId w:val="18"/>
  </w:num>
  <w:num w:numId="22" w16cid:durableId="11507117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4651"/>
  <w:drawingGridHorizontalSpacing w:val="9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4D"/>
    <w:rsid w:val="00001489"/>
    <w:rsid w:val="00003530"/>
    <w:rsid w:val="00003B67"/>
    <w:rsid w:val="00007F5F"/>
    <w:rsid w:val="0001070C"/>
    <w:rsid w:val="00011247"/>
    <w:rsid w:val="0001330F"/>
    <w:rsid w:val="00046665"/>
    <w:rsid w:val="00050D52"/>
    <w:rsid w:val="0006771F"/>
    <w:rsid w:val="00073688"/>
    <w:rsid w:val="00082EA6"/>
    <w:rsid w:val="00091BE0"/>
    <w:rsid w:val="00093F4A"/>
    <w:rsid w:val="0009730F"/>
    <w:rsid w:val="000A13FE"/>
    <w:rsid w:val="000A6214"/>
    <w:rsid w:val="000C4237"/>
    <w:rsid w:val="000E214C"/>
    <w:rsid w:val="000E223A"/>
    <w:rsid w:val="00100C7E"/>
    <w:rsid w:val="00101E64"/>
    <w:rsid w:val="001052C2"/>
    <w:rsid w:val="0012672D"/>
    <w:rsid w:val="00134E8C"/>
    <w:rsid w:val="001377CE"/>
    <w:rsid w:val="00141419"/>
    <w:rsid w:val="001426A7"/>
    <w:rsid w:val="00143166"/>
    <w:rsid w:val="00152DFF"/>
    <w:rsid w:val="0017116B"/>
    <w:rsid w:val="001943D9"/>
    <w:rsid w:val="001A672B"/>
    <w:rsid w:val="001A73CC"/>
    <w:rsid w:val="001B35AC"/>
    <w:rsid w:val="001B5A34"/>
    <w:rsid w:val="001C1DD7"/>
    <w:rsid w:val="001D59CD"/>
    <w:rsid w:val="001F26E3"/>
    <w:rsid w:val="00202C95"/>
    <w:rsid w:val="00207C22"/>
    <w:rsid w:val="00217B90"/>
    <w:rsid w:val="0022017F"/>
    <w:rsid w:val="0022710B"/>
    <w:rsid w:val="00237A44"/>
    <w:rsid w:val="00241C88"/>
    <w:rsid w:val="00242DE9"/>
    <w:rsid w:val="00245C11"/>
    <w:rsid w:val="002535B8"/>
    <w:rsid w:val="00253C2F"/>
    <w:rsid w:val="0025567C"/>
    <w:rsid w:val="00265C09"/>
    <w:rsid w:val="00280CFC"/>
    <w:rsid w:val="002A51DE"/>
    <w:rsid w:val="002A7D27"/>
    <w:rsid w:val="002C0B7C"/>
    <w:rsid w:val="002C404D"/>
    <w:rsid w:val="002D3C1B"/>
    <w:rsid w:val="002E563E"/>
    <w:rsid w:val="002F382E"/>
    <w:rsid w:val="002F5BF7"/>
    <w:rsid w:val="002F773D"/>
    <w:rsid w:val="003157D0"/>
    <w:rsid w:val="00316488"/>
    <w:rsid w:val="00326B28"/>
    <w:rsid w:val="00327A6D"/>
    <w:rsid w:val="00330AF1"/>
    <w:rsid w:val="00330DC6"/>
    <w:rsid w:val="0033172A"/>
    <w:rsid w:val="00341AE2"/>
    <w:rsid w:val="0035044C"/>
    <w:rsid w:val="00351C03"/>
    <w:rsid w:val="00351D24"/>
    <w:rsid w:val="00351E98"/>
    <w:rsid w:val="00352761"/>
    <w:rsid w:val="00352E50"/>
    <w:rsid w:val="00373D04"/>
    <w:rsid w:val="00374BF1"/>
    <w:rsid w:val="00381535"/>
    <w:rsid w:val="00383415"/>
    <w:rsid w:val="0038396A"/>
    <w:rsid w:val="00384BB5"/>
    <w:rsid w:val="003A017A"/>
    <w:rsid w:val="003A74E8"/>
    <w:rsid w:val="003C3324"/>
    <w:rsid w:val="003E19F0"/>
    <w:rsid w:val="003F05A3"/>
    <w:rsid w:val="003F5D33"/>
    <w:rsid w:val="0040580C"/>
    <w:rsid w:val="00407AE2"/>
    <w:rsid w:val="004268B3"/>
    <w:rsid w:val="00430EDD"/>
    <w:rsid w:val="004459F5"/>
    <w:rsid w:val="00457611"/>
    <w:rsid w:val="004637AC"/>
    <w:rsid w:val="004654A7"/>
    <w:rsid w:val="00483674"/>
    <w:rsid w:val="00487F7B"/>
    <w:rsid w:val="004901F2"/>
    <w:rsid w:val="004931DA"/>
    <w:rsid w:val="00493EE9"/>
    <w:rsid w:val="004A0801"/>
    <w:rsid w:val="004A3FA2"/>
    <w:rsid w:val="004E2940"/>
    <w:rsid w:val="004F12F5"/>
    <w:rsid w:val="004F678B"/>
    <w:rsid w:val="004F7CA0"/>
    <w:rsid w:val="0050516A"/>
    <w:rsid w:val="00506F6A"/>
    <w:rsid w:val="00507FBD"/>
    <w:rsid w:val="00507FC9"/>
    <w:rsid w:val="0053462F"/>
    <w:rsid w:val="005349F2"/>
    <w:rsid w:val="00543558"/>
    <w:rsid w:val="00546052"/>
    <w:rsid w:val="00553563"/>
    <w:rsid w:val="00561D5F"/>
    <w:rsid w:val="00562272"/>
    <w:rsid w:val="00566BC8"/>
    <w:rsid w:val="0056791B"/>
    <w:rsid w:val="0057089D"/>
    <w:rsid w:val="00576D88"/>
    <w:rsid w:val="005A10E4"/>
    <w:rsid w:val="005A46F3"/>
    <w:rsid w:val="005B45BE"/>
    <w:rsid w:val="005B4FC2"/>
    <w:rsid w:val="005C6BEE"/>
    <w:rsid w:val="005F0896"/>
    <w:rsid w:val="006016D2"/>
    <w:rsid w:val="006041E6"/>
    <w:rsid w:val="006178C0"/>
    <w:rsid w:val="00623D11"/>
    <w:rsid w:val="00624B0A"/>
    <w:rsid w:val="0062733A"/>
    <w:rsid w:val="00634EEF"/>
    <w:rsid w:val="00640186"/>
    <w:rsid w:val="00651B4A"/>
    <w:rsid w:val="0065264B"/>
    <w:rsid w:val="00681B55"/>
    <w:rsid w:val="006A07B3"/>
    <w:rsid w:val="006A1353"/>
    <w:rsid w:val="006B04A4"/>
    <w:rsid w:val="006C4B97"/>
    <w:rsid w:val="006D4C27"/>
    <w:rsid w:val="006E0F9F"/>
    <w:rsid w:val="006E604F"/>
    <w:rsid w:val="006F1BB0"/>
    <w:rsid w:val="006F619D"/>
    <w:rsid w:val="007154D3"/>
    <w:rsid w:val="0071649E"/>
    <w:rsid w:val="00725F0D"/>
    <w:rsid w:val="00731DDD"/>
    <w:rsid w:val="00734A3F"/>
    <w:rsid w:val="0074211B"/>
    <w:rsid w:val="00745526"/>
    <w:rsid w:val="00766750"/>
    <w:rsid w:val="00767837"/>
    <w:rsid w:val="007710C9"/>
    <w:rsid w:val="00773912"/>
    <w:rsid w:val="00774F01"/>
    <w:rsid w:val="007764CD"/>
    <w:rsid w:val="00784B96"/>
    <w:rsid w:val="00790229"/>
    <w:rsid w:val="00794346"/>
    <w:rsid w:val="007A076F"/>
    <w:rsid w:val="007A749C"/>
    <w:rsid w:val="007C01CC"/>
    <w:rsid w:val="007D5C17"/>
    <w:rsid w:val="007E2489"/>
    <w:rsid w:val="00800364"/>
    <w:rsid w:val="00803EDB"/>
    <w:rsid w:val="00815662"/>
    <w:rsid w:val="00831901"/>
    <w:rsid w:val="008417FE"/>
    <w:rsid w:val="00850ABE"/>
    <w:rsid w:val="00852329"/>
    <w:rsid w:val="00862399"/>
    <w:rsid w:val="0088154C"/>
    <w:rsid w:val="00884BD0"/>
    <w:rsid w:val="00886F80"/>
    <w:rsid w:val="00891378"/>
    <w:rsid w:val="0089465F"/>
    <w:rsid w:val="00895FDC"/>
    <w:rsid w:val="008C425F"/>
    <w:rsid w:val="008C5B0A"/>
    <w:rsid w:val="008D07E0"/>
    <w:rsid w:val="008E1A34"/>
    <w:rsid w:val="008F6444"/>
    <w:rsid w:val="008F65A7"/>
    <w:rsid w:val="00921B0B"/>
    <w:rsid w:val="00926152"/>
    <w:rsid w:val="00933E77"/>
    <w:rsid w:val="00937986"/>
    <w:rsid w:val="0095207C"/>
    <w:rsid w:val="00984D1A"/>
    <w:rsid w:val="00985065"/>
    <w:rsid w:val="00992684"/>
    <w:rsid w:val="0099524A"/>
    <w:rsid w:val="009A2C86"/>
    <w:rsid w:val="009A5A87"/>
    <w:rsid w:val="009B0AE8"/>
    <w:rsid w:val="009B1657"/>
    <w:rsid w:val="009B56B1"/>
    <w:rsid w:val="009F3A71"/>
    <w:rsid w:val="009F546E"/>
    <w:rsid w:val="00A30C4E"/>
    <w:rsid w:val="00A34B16"/>
    <w:rsid w:val="00A35175"/>
    <w:rsid w:val="00A37625"/>
    <w:rsid w:val="00A377EB"/>
    <w:rsid w:val="00A46F6C"/>
    <w:rsid w:val="00A51D6A"/>
    <w:rsid w:val="00A522E5"/>
    <w:rsid w:val="00A56AE2"/>
    <w:rsid w:val="00A62000"/>
    <w:rsid w:val="00A6493C"/>
    <w:rsid w:val="00A76D74"/>
    <w:rsid w:val="00A8047B"/>
    <w:rsid w:val="00A95309"/>
    <w:rsid w:val="00AA1543"/>
    <w:rsid w:val="00AA2705"/>
    <w:rsid w:val="00AA2D00"/>
    <w:rsid w:val="00AB4792"/>
    <w:rsid w:val="00AC1B57"/>
    <w:rsid w:val="00AD08A4"/>
    <w:rsid w:val="00AD5E49"/>
    <w:rsid w:val="00AE6C17"/>
    <w:rsid w:val="00AF3B2A"/>
    <w:rsid w:val="00AF5965"/>
    <w:rsid w:val="00AF68B2"/>
    <w:rsid w:val="00B04653"/>
    <w:rsid w:val="00B228CD"/>
    <w:rsid w:val="00B337F1"/>
    <w:rsid w:val="00B35012"/>
    <w:rsid w:val="00B41B78"/>
    <w:rsid w:val="00B42F0E"/>
    <w:rsid w:val="00B530CF"/>
    <w:rsid w:val="00B62C92"/>
    <w:rsid w:val="00B62FEC"/>
    <w:rsid w:val="00B636DF"/>
    <w:rsid w:val="00B666FD"/>
    <w:rsid w:val="00B75585"/>
    <w:rsid w:val="00B840CF"/>
    <w:rsid w:val="00BA6BF1"/>
    <w:rsid w:val="00BB6957"/>
    <w:rsid w:val="00BE2EB5"/>
    <w:rsid w:val="00BF5A7F"/>
    <w:rsid w:val="00BF6DB5"/>
    <w:rsid w:val="00BF7A77"/>
    <w:rsid w:val="00C02BC9"/>
    <w:rsid w:val="00C056A9"/>
    <w:rsid w:val="00C11BE7"/>
    <w:rsid w:val="00C12347"/>
    <w:rsid w:val="00C16BA8"/>
    <w:rsid w:val="00C22EC7"/>
    <w:rsid w:val="00C23189"/>
    <w:rsid w:val="00C23275"/>
    <w:rsid w:val="00C241B4"/>
    <w:rsid w:val="00C27EA5"/>
    <w:rsid w:val="00C46BC5"/>
    <w:rsid w:val="00C475C1"/>
    <w:rsid w:val="00C7028F"/>
    <w:rsid w:val="00C755EF"/>
    <w:rsid w:val="00C808BD"/>
    <w:rsid w:val="00C834F7"/>
    <w:rsid w:val="00C93E10"/>
    <w:rsid w:val="00C95511"/>
    <w:rsid w:val="00C9692F"/>
    <w:rsid w:val="00C97D4B"/>
    <w:rsid w:val="00CB1619"/>
    <w:rsid w:val="00CB3E9F"/>
    <w:rsid w:val="00CB47A8"/>
    <w:rsid w:val="00CB5B5A"/>
    <w:rsid w:val="00CC5629"/>
    <w:rsid w:val="00CC7311"/>
    <w:rsid w:val="00CE154C"/>
    <w:rsid w:val="00CE193A"/>
    <w:rsid w:val="00CF0A9D"/>
    <w:rsid w:val="00CF7A46"/>
    <w:rsid w:val="00D00837"/>
    <w:rsid w:val="00D0315F"/>
    <w:rsid w:val="00D109C6"/>
    <w:rsid w:val="00D11C42"/>
    <w:rsid w:val="00D356A3"/>
    <w:rsid w:val="00D365A9"/>
    <w:rsid w:val="00D43D78"/>
    <w:rsid w:val="00D5047F"/>
    <w:rsid w:val="00D55916"/>
    <w:rsid w:val="00D7459F"/>
    <w:rsid w:val="00D8380C"/>
    <w:rsid w:val="00D9129E"/>
    <w:rsid w:val="00D94E75"/>
    <w:rsid w:val="00DB4D1B"/>
    <w:rsid w:val="00DB5692"/>
    <w:rsid w:val="00DB739B"/>
    <w:rsid w:val="00DC01CC"/>
    <w:rsid w:val="00DC2E1D"/>
    <w:rsid w:val="00DC6C6F"/>
    <w:rsid w:val="00DE39EC"/>
    <w:rsid w:val="00DF3CB7"/>
    <w:rsid w:val="00DF4C1A"/>
    <w:rsid w:val="00E01E3D"/>
    <w:rsid w:val="00E07802"/>
    <w:rsid w:val="00E2642A"/>
    <w:rsid w:val="00E30B2C"/>
    <w:rsid w:val="00E31ED7"/>
    <w:rsid w:val="00E5743F"/>
    <w:rsid w:val="00E725FB"/>
    <w:rsid w:val="00E8513F"/>
    <w:rsid w:val="00E862E5"/>
    <w:rsid w:val="00E903A1"/>
    <w:rsid w:val="00E940F4"/>
    <w:rsid w:val="00EA5A04"/>
    <w:rsid w:val="00EB362D"/>
    <w:rsid w:val="00EC1BB7"/>
    <w:rsid w:val="00EC7C81"/>
    <w:rsid w:val="00EF318A"/>
    <w:rsid w:val="00EF3941"/>
    <w:rsid w:val="00EF5AD8"/>
    <w:rsid w:val="00EF796A"/>
    <w:rsid w:val="00F1432D"/>
    <w:rsid w:val="00F16802"/>
    <w:rsid w:val="00F223BD"/>
    <w:rsid w:val="00F32491"/>
    <w:rsid w:val="00F33622"/>
    <w:rsid w:val="00F3528F"/>
    <w:rsid w:val="00F35DEA"/>
    <w:rsid w:val="00F424E6"/>
    <w:rsid w:val="00F573E2"/>
    <w:rsid w:val="00F711D3"/>
    <w:rsid w:val="00F87DBE"/>
    <w:rsid w:val="00F918EF"/>
    <w:rsid w:val="00F969D7"/>
    <w:rsid w:val="00F972E8"/>
    <w:rsid w:val="00FE2D58"/>
    <w:rsid w:val="00FE557E"/>
    <w:rsid w:val="00FF263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CCA2"/>
  <w15:chartTrackingRefBased/>
  <w15:docId w15:val="{CE84C7C5-A56A-49CC-A200-5E0F0A3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511"/>
    <w:pPr>
      <w:spacing w:after="120"/>
    </w:pPr>
    <w:rPr>
      <w:rFonts w:ascii="Arial" w:hAnsi="Arial"/>
      <w:sz w:val="20"/>
    </w:rPr>
  </w:style>
  <w:style w:type="paragraph" w:styleId="Heading1">
    <w:name w:val="heading 1"/>
    <w:basedOn w:val="Normal"/>
    <w:next w:val="Normal"/>
    <w:link w:val="Heading1Char"/>
    <w:autoRedefine/>
    <w:qFormat/>
    <w:rsid w:val="003A74E8"/>
    <w:pPr>
      <w:keepNext/>
      <w:keepLines/>
      <w:spacing w:before="360" w:after="60"/>
      <w:outlineLvl w:val="0"/>
    </w:pPr>
    <w:rPr>
      <w:rFonts w:eastAsiaTheme="majorEastAsia" w:cstheme="majorBidi"/>
      <w:b/>
      <w:bCs/>
      <w:color w:val="6D6E6C"/>
      <w:sz w:val="28"/>
      <w:szCs w:val="32"/>
      <w:lang w:val="en-CA"/>
    </w:rPr>
  </w:style>
  <w:style w:type="paragraph" w:styleId="Heading2">
    <w:name w:val="heading 2"/>
    <w:basedOn w:val="Normal"/>
    <w:next w:val="Normal"/>
    <w:link w:val="Heading2Char"/>
    <w:uiPriority w:val="9"/>
    <w:semiHidden/>
    <w:unhideWhenUsed/>
    <w:qFormat/>
    <w:rsid w:val="003157D0"/>
    <w:pPr>
      <w:keepNext/>
      <w:keepLines/>
      <w:spacing w:before="40"/>
      <w:outlineLvl w:val="1"/>
    </w:pPr>
    <w:rPr>
      <w:rFonts w:eastAsiaTheme="majorEastAsia" w:cstheme="majorBidi"/>
      <w:b/>
      <w:bCs/>
      <w:color w:val="6D6E6C"/>
      <w:sz w:val="26"/>
      <w:szCs w:val="26"/>
    </w:rPr>
  </w:style>
  <w:style w:type="paragraph" w:styleId="Heading3">
    <w:name w:val="heading 3"/>
    <w:basedOn w:val="Normal"/>
    <w:next w:val="Normal"/>
    <w:link w:val="Heading3Char"/>
    <w:uiPriority w:val="9"/>
    <w:semiHidden/>
    <w:unhideWhenUsed/>
    <w:qFormat/>
    <w:rsid w:val="00C22EC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DB5"/>
    <w:pPr>
      <w:tabs>
        <w:tab w:val="center" w:pos="4680"/>
        <w:tab w:val="right" w:pos="9360"/>
      </w:tabs>
    </w:pPr>
  </w:style>
  <w:style w:type="character" w:customStyle="1" w:styleId="HeaderChar">
    <w:name w:val="Header Char"/>
    <w:basedOn w:val="DefaultParagraphFont"/>
    <w:link w:val="Header"/>
    <w:uiPriority w:val="99"/>
    <w:rsid w:val="00BF6DB5"/>
    <w:rPr>
      <w:rFonts w:ascii="Arial" w:hAnsi="Arial"/>
      <w:color w:val="000000" w:themeColor="text1"/>
      <w:sz w:val="18"/>
      <w14:numForm w14:val="oldStyle"/>
      <w14:numSpacing w14:val="proportional"/>
    </w:rPr>
  </w:style>
  <w:style w:type="paragraph" w:styleId="Footer">
    <w:name w:val="footer"/>
    <w:basedOn w:val="Normal"/>
    <w:link w:val="FooterChar"/>
    <w:uiPriority w:val="99"/>
    <w:unhideWhenUsed/>
    <w:rsid w:val="00BF6DB5"/>
    <w:pPr>
      <w:tabs>
        <w:tab w:val="center" w:pos="4680"/>
        <w:tab w:val="right" w:pos="9360"/>
      </w:tabs>
    </w:pPr>
  </w:style>
  <w:style w:type="character" w:customStyle="1" w:styleId="FooterChar">
    <w:name w:val="Footer Char"/>
    <w:basedOn w:val="DefaultParagraphFont"/>
    <w:link w:val="Footer"/>
    <w:uiPriority w:val="99"/>
    <w:rsid w:val="00BF6DB5"/>
    <w:rPr>
      <w:rFonts w:ascii="Arial" w:hAnsi="Arial"/>
      <w:color w:val="000000" w:themeColor="text1"/>
      <w:sz w:val="18"/>
      <w14:numForm w14:val="oldStyle"/>
      <w14:numSpacing w14:val="proportional"/>
    </w:rPr>
  </w:style>
  <w:style w:type="paragraph" w:styleId="Date">
    <w:name w:val="Date"/>
    <w:basedOn w:val="Normal"/>
    <w:next w:val="Normal"/>
    <w:link w:val="DateChar"/>
    <w:uiPriority w:val="99"/>
    <w:semiHidden/>
    <w:unhideWhenUsed/>
    <w:rsid w:val="0017116B"/>
  </w:style>
  <w:style w:type="character" w:customStyle="1" w:styleId="DateChar">
    <w:name w:val="Date Char"/>
    <w:basedOn w:val="DefaultParagraphFont"/>
    <w:link w:val="Date"/>
    <w:uiPriority w:val="99"/>
    <w:semiHidden/>
    <w:rsid w:val="0017116B"/>
    <w:rPr>
      <w:rFonts w:ascii="Arial" w:hAnsi="Arial"/>
      <w:color w:val="000000" w:themeColor="text1"/>
      <w:sz w:val="18"/>
      <w14:numForm w14:val="oldStyle"/>
      <w14:numSpacing w14:val="proportional"/>
    </w:rPr>
  </w:style>
  <w:style w:type="paragraph" w:styleId="NormalWeb">
    <w:name w:val="Normal (Web)"/>
    <w:basedOn w:val="Normal"/>
    <w:uiPriority w:val="99"/>
    <w:semiHidden/>
    <w:unhideWhenUsed/>
    <w:rsid w:val="0017116B"/>
    <w:pPr>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semiHidden/>
    <w:unhideWhenUsed/>
    <w:rsid w:val="00553563"/>
  </w:style>
  <w:style w:type="table" w:styleId="TableGrid">
    <w:name w:val="Table Grid"/>
    <w:basedOn w:val="TableNormal"/>
    <w:uiPriority w:val="59"/>
    <w:rsid w:val="00241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A74E8"/>
    <w:rPr>
      <w:rFonts w:ascii="Arial" w:eastAsiaTheme="majorEastAsia" w:hAnsi="Arial" w:cstheme="majorBidi"/>
      <w:b/>
      <w:bCs/>
      <w:color w:val="6D6E6C"/>
      <w:sz w:val="28"/>
      <w:szCs w:val="32"/>
      <w:lang w:val="en-CA"/>
    </w:rPr>
  </w:style>
  <w:style w:type="character" w:customStyle="1" w:styleId="Heading2Char">
    <w:name w:val="Heading 2 Char"/>
    <w:basedOn w:val="DefaultParagraphFont"/>
    <w:link w:val="Heading2"/>
    <w:uiPriority w:val="9"/>
    <w:semiHidden/>
    <w:rsid w:val="003157D0"/>
    <w:rPr>
      <w:rFonts w:ascii="Arial" w:eastAsiaTheme="majorEastAsia" w:hAnsi="Arial" w:cstheme="majorBidi"/>
      <w:b/>
      <w:bCs/>
      <w:color w:val="6D6E6C"/>
      <w:sz w:val="26"/>
      <w:szCs w:val="26"/>
      <w14:numForm w14:val="oldStyle"/>
      <w14:numSpacing w14:val="proportional"/>
    </w:rPr>
  </w:style>
  <w:style w:type="paragraph" w:styleId="Title">
    <w:name w:val="Title"/>
    <w:basedOn w:val="Normal"/>
    <w:next w:val="Normal"/>
    <w:link w:val="TitleChar"/>
    <w:qFormat/>
    <w:rsid w:val="003C3324"/>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rsid w:val="003C3324"/>
    <w:rPr>
      <w:rFonts w:ascii="Arial" w:eastAsiaTheme="majorEastAsia" w:hAnsi="Arial" w:cstheme="majorBidi"/>
      <w:b/>
      <w:bCs/>
      <w:spacing w:val="-10"/>
      <w:kern w:val="28"/>
      <w:sz w:val="56"/>
      <w:szCs w:val="56"/>
    </w:rPr>
  </w:style>
  <w:style w:type="paragraph" w:styleId="Quote">
    <w:name w:val="Quote"/>
    <w:basedOn w:val="Normal"/>
    <w:next w:val="Normal"/>
    <w:link w:val="QuoteChar"/>
    <w:uiPriority w:val="29"/>
    <w:qFormat/>
    <w:rsid w:val="003157D0"/>
    <w:pPr>
      <w:pBdr>
        <w:top w:val="single" w:sz="2" w:space="6" w:color="auto"/>
        <w:bottom w:val="single" w:sz="2" w:space="6" w:color="auto"/>
      </w:pBdr>
      <w:spacing w:before="200" w:after="160" w:line="360" w:lineRule="exact"/>
      <w:ind w:right="2268"/>
    </w:pPr>
    <w:rPr>
      <w:b/>
      <w:bCs/>
      <w:color w:val="404040" w:themeColor="text1" w:themeTint="BF"/>
      <w:sz w:val="36"/>
    </w:rPr>
  </w:style>
  <w:style w:type="character" w:customStyle="1" w:styleId="QuoteChar">
    <w:name w:val="Quote Char"/>
    <w:basedOn w:val="DefaultParagraphFont"/>
    <w:link w:val="Quote"/>
    <w:uiPriority w:val="29"/>
    <w:rsid w:val="003157D0"/>
    <w:rPr>
      <w:rFonts w:ascii="Arial" w:hAnsi="Arial"/>
      <w:b/>
      <w:bCs/>
      <w:color w:val="404040" w:themeColor="text1" w:themeTint="BF"/>
      <w:sz w:val="36"/>
      <w14:numForm w14:val="oldStyle"/>
      <w14:numSpacing w14:val="proportional"/>
    </w:rPr>
  </w:style>
  <w:style w:type="paragraph" w:customStyle="1" w:styleId="AddressBlock">
    <w:name w:val="Address Block"/>
    <w:basedOn w:val="Footer"/>
    <w:qFormat/>
    <w:rsid w:val="00DF4C1A"/>
    <w:pPr>
      <w:tabs>
        <w:tab w:val="clear" w:pos="4680"/>
        <w:tab w:val="clear" w:pos="9360"/>
      </w:tabs>
      <w:spacing w:line="170" w:lineRule="exact"/>
      <w:ind w:left="227"/>
    </w:pPr>
    <w:rPr>
      <w:color w:val="6D6E6C"/>
      <w:sz w:val="14"/>
      <w:szCs w:val="14"/>
    </w:rPr>
  </w:style>
  <w:style w:type="character" w:styleId="PlaceholderText">
    <w:name w:val="Placeholder Text"/>
    <w:basedOn w:val="DefaultParagraphFont"/>
    <w:uiPriority w:val="99"/>
    <w:semiHidden/>
    <w:rsid w:val="002C404D"/>
    <w:rPr>
      <w:color w:val="808080"/>
    </w:rPr>
  </w:style>
  <w:style w:type="character" w:customStyle="1" w:styleId="ContentControl">
    <w:name w:val="Content Control"/>
    <w:basedOn w:val="DefaultParagraphFont"/>
    <w:uiPriority w:val="1"/>
    <w:rsid w:val="002C404D"/>
    <w:rPr>
      <w:rFonts w:ascii="Calibri" w:hAnsi="Calibri"/>
      <w:sz w:val="22"/>
    </w:rPr>
  </w:style>
  <w:style w:type="character" w:styleId="Hyperlink">
    <w:name w:val="Hyperlink"/>
    <w:basedOn w:val="DefaultParagraphFont"/>
    <w:uiPriority w:val="99"/>
    <w:rsid w:val="002C404D"/>
    <w:rPr>
      <w:color w:val="0000FF"/>
      <w:u w:val="single"/>
    </w:rPr>
  </w:style>
  <w:style w:type="paragraph" w:styleId="ListParagraph">
    <w:name w:val="List Paragraph"/>
    <w:basedOn w:val="Normal"/>
    <w:link w:val="ListParagraphChar"/>
    <w:autoRedefine/>
    <w:uiPriority w:val="34"/>
    <w:qFormat/>
    <w:rsid w:val="00351D24"/>
    <w:pPr>
      <w:widowControl w:val="0"/>
      <w:numPr>
        <w:numId w:val="12"/>
      </w:numPr>
      <w:autoSpaceDE w:val="0"/>
      <w:autoSpaceDN w:val="0"/>
      <w:adjustRightInd w:val="0"/>
      <w:contextualSpacing/>
    </w:pPr>
    <w:rPr>
      <w:rFonts w:eastAsia="Times New Roman" w:cs="Times New Roman"/>
      <w:lang w:val="en-CA" w:eastAsia="en-US"/>
    </w:rPr>
  </w:style>
  <w:style w:type="character" w:customStyle="1" w:styleId="ListParagraphChar">
    <w:name w:val="List Paragraph Char"/>
    <w:basedOn w:val="DefaultParagraphFont"/>
    <w:link w:val="ListParagraph"/>
    <w:uiPriority w:val="34"/>
    <w:rsid w:val="00351D24"/>
    <w:rPr>
      <w:rFonts w:ascii="Arial" w:eastAsia="Times New Roman" w:hAnsi="Arial" w:cs="Times New Roman"/>
      <w:sz w:val="20"/>
      <w:lang w:val="en-CA" w:eastAsia="en-US"/>
    </w:rPr>
  </w:style>
  <w:style w:type="character" w:styleId="FollowedHyperlink">
    <w:name w:val="FollowedHyperlink"/>
    <w:basedOn w:val="DefaultParagraphFont"/>
    <w:uiPriority w:val="99"/>
    <w:semiHidden/>
    <w:unhideWhenUsed/>
    <w:rsid w:val="002C404D"/>
    <w:rPr>
      <w:color w:val="954F72" w:themeColor="followedHyperlink"/>
      <w:u w:val="single"/>
    </w:rPr>
  </w:style>
  <w:style w:type="paragraph" w:customStyle="1" w:styleId="Style1">
    <w:name w:val="Style1"/>
    <w:basedOn w:val="Normal"/>
    <w:link w:val="Style1Char"/>
    <w:rsid w:val="006016D2"/>
  </w:style>
  <w:style w:type="paragraph" w:customStyle="1" w:styleId="Style2">
    <w:name w:val="Style2"/>
    <w:basedOn w:val="Normal"/>
    <w:link w:val="Style2Char"/>
    <w:rsid w:val="006016D2"/>
  </w:style>
  <w:style w:type="character" w:customStyle="1" w:styleId="Style1Char">
    <w:name w:val="Style1 Char"/>
    <w:basedOn w:val="DefaultParagraphFont"/>
    <w:link w:val="Style1"/>
    <w:rsid w:val="006016D2"/>
    <w:rPr>
      <w:rFonts w:ascii="Arial" w:hAnsi="Arial"/>
      <w:color w:val="000000" w:themeColor="text1"/>
      <w:sz w:val="18"/>
      <w14:numForm w14:val="oldStyle"/>
      <w14:numSpacing w14:val="proportional"/>
    </w:rPr>
  </w:style>
  <w:style w:type="character" w:customStyle="1" w:styleId="Style2Char">
    <w:name w:val="Style2 Char"/>
    <w:basedOn w:val="DefaultParagraphFont"/>
    <w:link w:val="Style2"/>
    <w:rsid w:val="006016D2"/>
    <w:rPr>
      <w:rFonts w:ascii="Arial" w:hAnsi="Arial"/>
      <w:color w:val="000000" w:themeColor="text1"/>
      <w:sz w:val="18"/>
      <w14:numForm w14:val="oldStyle"/>
      <w14:numSpacing w14:val="proportional"/>
    </w:rPr>
  </w:style>
  <w:style w:type="paragraph" w:styleId="TOCHeading">
    <w:name w:val="TOC Heading"/>
    <w:basedOn w:val="Heading1"/>
    <w:next w:val="Normal"/>
    <w:uiPriority w:val="39"/>
    <w:unhideWhenUsed/>
    <w:qFormat/>
    <w:rsid w:val="00E862E5"/>
    <w:pPr>
      <w:spacing w:after="0" w:line="259" w:lineRule="auto"/>
      <w:outlineLvl w:val="9"/>
    </w:pPr>
    <w:rPr>
      <w:rFonts w:asciiTheme="majorHAnsi" w:hAnsiTheme="majorHAnsi"/>
      <w:b w:val="0"/>
      <w:bCs w:val="0"/>
      <w:color w:val="2F5496" w:themeColor="accent1" w:themeShade="BF"/>
      <w:lang w:eastAsia="en-US"/>
    </w:rPr>
  </w:style>
  <w:style w:type="paragraph" w:styleId="TOC1">
    <w:name w:val="toc 1"/>
    <w:basedOn w:val="Normal"/>
    <w:next w:val="Normal"/>
    <w:autoRedefine/>
    <w:uiPriority w:val="39"/>
    <w:unhideWhenUsed/>
    <w:rsid w:val="00007F5F"/>
    <w:pPr>
      <w:tabs>
        <w:tab w:val="right" w:leader="dot" w:pos="10070"/>
      </w:tabs>
      <w:spacing w:after="0"/>
    </w:pPr>
    <w:rPr>
      <w:color w:val="0000FF"/>
      <w:u w:val="single"/>
    </w:rPr>
  </w:style>
  <w:style w:type="character" w:customStyle="1" w:styleId="coursename">
    <w:name w:val="coursename"/>
    <w:basedOn w:val="DefaultParagraphFont"/>
    <w:uiPriority w:val="1"/>
    <w:rsid w:val="00DC6C6F"/>
  </w:style>
  <w:style w:type="character" w:customStyle="1" w:styleId="coursecode">
    <w:name w:val="coursecode"/>
    <w:basedOn w:val="DefaultParagraphFont"/>
    <w:uiPriority w:val="1"/>
    <w:rsid w:val="00DC6C6F"/>
  </w:style>
  <w:style w:type="character" w:customStyle="1" w:styleId="year">
    <w:name w:val="year"/>
    <w:basedOn w:val="DefaultParagraphFont"/>
    <w:uiPriority w:val="1"/>
    <w:rsid w:val="00DC6C6F"/>
  </w:style>
  <w:style w:type="character" w:customStyle="1" w:styleId="term">
    <w:name w:val="term"/>
    <w:basedOn w:val="DefaultParagraphFont"/>
    <w:uiPriority w:val="1"/>
    <w:rsid w:val="00DC6C6F"/>
  </w:style>
  <w:style w:type="character" w:customStyle="1" w:styleId="instructor">
    <w:name w:val="instructor"/>
    <w:basedOn w:val="DefaultParagraphFont"/>
    <w:uiPriority w:val="1"/>
    <w:rsid w:val="00DC6C6F"/>
  </w:style>
  <w:style w:type="paragraph" w:styleId="BalloonText">
    <w:name w:val="Balloon Text"/>
    <w:basedOn w:val="Normal"/>
    <w:link w:val="BalloonTextChar"/>
    <w:uiPriority w:val="99"/>
    <w:semiHidden/>
    <w:unhideWhenUsed/>
    <w:rsid w:val="00A522E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2E5"/>
    <w:rPr>
      <w:rFonts w:ascii="Segoe UI" w:hAnsi="Segoe UI" w:cs="Segoe UI"/>
      <w:color w:val="000000" w:themeColor="text1"/>
      <w:sz w:val="18"/>
      <w:szCs w:val="18"/>
      <w14:numForm w14:val="oldStyle"/>
      <w14:numSpacing w14:val="proportional"/>
    </w:rPr>
  </w:style>
  <w:style w:type="character" w:styleId="CommentReference">
    <w:name w:val="annotation reference"/>
    <w:basedOn w:val="DefaultParagraphFont"/>
    <w:uiPriority w:val="99"/>
    <w:semiHidden/>
    <w:unhideWhenUsed/>
    <w:rsid w:val="00794346"/>
    <w:rPr>
      <w:sz w:val="16"/>
      <w:szCs w:val="16"/>
    </w:rPr>
  </w:style>
  <w:style w:type="paragraph" w:styleId="CommentText">
    <w:name w:val="annotation text"/>
    <w:basedOn w:val="Normal"/>
    <w:link w:val="CommentTextChar"/>
    <w:uiPriority w:val="99"/>
    <w:semiHidden/>
    <w:unhideWhenUsed/>
    <w:rsid w:val="00794346"/>
    <w:rPr>
      <w:szCs w:val="20"/>
    </w:rPr>
  </w:style>
  <w:style w:type="character" w:customStyle="1" w:styleId="CommentTextChar">
    <w:name w:val="Comment Text Char"/>
    <w:basedOn w:val="DefaultParagraphFont"/>
    <w:link w:val="CommentText"/>
    <w:uiPriority w:val="99"/>
    <w:semiHidden/>
    <w:rsid w:val="0079434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94346"/>
    <w:rPr>
      <w:b/>
      <w:bCs/>
    </w:rPr>
  </w:style>
  <w:style w:type="character" w:customStyle="1" w:styleId="CommentSubjectChar">
    <w:name w:val="Comment Subject Char"/>
    <w:basedOn w:val="CommentTextChar"/>
    <w:link w:val="CommentSubject"/>
    <w:uiPriority w:val="99"/>
    <w:semiHidden/>
    <w:rsid w:val="00794346"/>
    <w:rPr>
      <w:rFonts w:ascii="Arial" w:hAnsi="Arial"/>
      <w:b/>
      <w:bCs/>
      <w:sz w:val="20"/>
      <w:szCs w:val="20"/>
    </w:rPr>
  </w:style>
  <w:style w:type="character" w:customStyle="1" w:styleId="Style3">
    <w:name w:val="Style3"/>
    <w:basedOn w:val="DefaultParagraphFont"/>
    <w:uiPriority w:val="1"/>
    <w:rsid w:val="00AA2D00"/>
    <w:rPr>
      <w:rFonts w:ascii="Arial" w:hAnsi="Arial"/>
      <w:sz w:val="22"/>
    </w:rPr>
  </w:style>
  <w:style w:type="paragraph" w:customStyle="1" w:styleId="xmsonormal">
    <w:name w:val="x_msonormal"/>
    <w:basedOn w:val="Normal"/>
    <w:rsid w:val="00B62C92"/>
    <w:pPr>
      <w:spacing w:before="100" w:beforeAutospacing="1" w:after="100" w:afterAutospacing="1"/>
    </w:pPr>
    <w:rPr>
      <w:rFonts w:ascii="Times New Roman" w:eastAsia="Times New Roman" w:hAnsi="Times New Roman" w:cs="Times New Roman"/>
      <w:sz w:val="24"/>
      <w:lang w:val="en-CA" w:eastAsia="en-CA"/>
    </w:rPr>
  </w:style>
  <w:style w:type="character" w:styleId="UnresolvedMention">
    <w:name w:val="Unresolved Mention"/>
    <w:basedOn w:val="DefaultParagraphFont"/>
    <w:uiPriority w:val="99"/>
    <w:semiHidden/>
    <w:unhideWhenUsed/>
    <w:rsid w:val="001052C2"/>
    <w:rPr>
      <w:color w:val="605E5C"/>
      <w:shd w:val="clear" w:color="auto" w:fill="E1DFDD"/>
    </w:rPr>
  </w:style>
  <w:style w:type="paragraph" w:customStyle="1" w:styleId="xxmsolistparagraph">
    <w:name w:val="x_xmsolistparagraph"/>
    <w:basedOn w:val="Normal"/>
    <w:rsid w:val="00EC7C81"/>
    <w:pPr>
      <w:spacing w:after="0"/>
      <w:ind w:left="720"/>
    </w:pPr>
    <w:rPr>
      <w:rFonts w:ascii="Calibri" w:eastAsiaTheme="minorHAnsi" w:hAnsi="Calibri" w:cs="Calibri"/>
      <w:szCs w:val="22"/>
      <w:lang w:val="en-CA" w:eastAsia="en-CA"/>
    </w:rPr>
  </w:style>
  <w:style w:type="paragraph" w:customStyle="1" w:styleId="paragraph">
    <w:name w:val="paragraph"/>
    <w:basedOn w:val="Normal"/>
    <w:rsid w:val="00EF796A"/>
    <w:pPr>
      <w:spacing w:before="100" w:beforeAutospacing="1" w:after="100" w:afterAutospacing="1"/>
    </w:pPr>
    <w:rPr>
      <w:rFonts w:ascii="Times New Roman" w:eastAsia="Times New Roman" w:hAnsi="Times New Roman" w:cs="Times New Roman"/>
      <w:sz w:val="24"/>
      <w:lang w:val="en-CA" w:eastAsia="en-CA"/>
    </w:rPr>
  </w:style>
  <w:style w:type="character" w:customStyle="1" w:styleId="spellingerror">
    <w:name w:val="spellingerror"/>
    <w:basedOn w:val="DefaultParagraphFont"/>
    <w:rsid w:val="00EF796A"/>
  </w:style>
  <w:style w:type="character" w:customStyle="1" w:styleId="eop">
    <w:name w:val="eop"/>
    <w:basedOn w:val="DefaultParagraphFont"/>
    <w:rsid w:val="00EF796A"/>
  </w:style>
  <w:style w:type="character" w:customStyle="1" w:styleId="normaltextrun">
    <w:name w:val="normaltextrun"/>
    <w:basedOn w:val="DefaultParagraphFont"/>
    <w:rsid w:val="00EF796A"/>
  </w:style>
  <w:style w:type="character" w:customStyle="1" w:styleId="advancedproofingissue">
    <w:name w:val="advancedproofingissue"/>
    <w:basedOn w:val="DefaultParagraphFont"/>
    <w:rsid w:val="00EF796A"/>
  </w:style>
  <w:style w:type="character" w:customStyle="1" w:styleId="contextualspellingandgrammarerror">
    <w:name w:val="contextualspellingandgrammarerror"/>
    <w:basedOn w:val="DefaultParagraphFont"/>
    <w:rsid w:val="00EF796A"/>
  </w:style>
  <w:style w:type="character" w:customStyle="1" w:styleId="Heading3Char">
    <w:name w:val="Heading 3 Char"/>
    <w:basedOn w:val="DefaultParagraphFont"/>
    <w:link w:val="Heading3"/>
    <w:uiPriority w:val="9"/>
    <w:semiHidden/>
    <w:rsid w:val="00C22EC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66BC8"/>
    <w:rPr>
      <w:b/>
      <w:bCs/>
    </w:rPr>
  </w:style>
  <w:style w:type="paragraph" w:customStyle="1" w:styleId="CM3">
    <w:name w:val="CM3"/>
    <w:basedOn w:val="Normal"/>
    <w:next w:val="Normal"/>
    <w:uiPriority w:val="99"/>
    <w:rsid w:val="00C97D4B"/>
    <w:pPr>
      <w:widowControl w:val="0"/>
      <w:autoSpaceDE w:val="0"/>
      <w:autoSpaceDN w:val="0"/>
      <w:adjustRightInd w:val="0"/>
      <w:spacing w:after="0"/>
    </w:pPr>
    <w:rPr>
      <w:rFonts w:ascii="Century Gothic" w:eastAsia="Times New Roman" w:hAnsi="Century Gothic"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594">
      <w:bodyDiv w:val="1"/>
      <w:marLeft w:val="0"/>
      <w:marRight w:val="0"/>
      <w:marTop w:val="0"/>
      <w:marBottom w:val="0"/>
      <w:divBdr>
        <w:top w:val="none" w:sz="0" w:space="0" w:color="auto"/>
        <w:left w:val="none" w:sz="0" w:space="0" w:color="auto"/>
        <w:bottom w:val="none" w:sz="0" w:space="0" w:color="auto"/>
        <w:right w:val="none" w:sz="0" w:space="0" w:color="auto"/>
      </w:divBdr>
    </w:div>
    <w:div w:id="115763339">
      <w:bodyDiv w:val="1"/>
      <w:marLeft w:val="0"/>
      <w:marRight w:val="0"/>
      <w:marTop w:val="0"/>
      <w:marBottom w:val="0"/>
      <w:divBdr>
        <w:top w:val="none" w:sz="0" w:space="0" w:color="auto"/>
        <w:left w:val="none" w:sz="0" w:space="0" w:color="auto"/>
        <w:bottom w:val="none" w:sz="0" w:space="0" w:color="auto"/>
        <w:right w:val="none" w:sz="0" w:space="0" w:color="auto"/>
      </w:divBdr>
    </w:div>
    <w:div w:id="225262777">
      <w:bodyDiv w:val="1"/>
      <w:marLeft w:val="0"/>
      <w:marRight w:val="0"/>
      <w:marTop w:val="0"/>
      <w:marBottom w:val="0"/>
      <w:divBdr>
        <w:top w:val="none" w:sz="0" w:space="0" w:color="auto"/>
        <w:left w:val="none" w:sz="0" w:space="0" w:color="auto"/>
        <w:bottom w:val="none" w:sz="0" w:space="0" w:color="auto"/>
        <w:right w:val="none" w:sz="0" w:space="0" w:color="auto"/>
      </w:divBdr>
    </w:div>
    <w:div w:id="272715436">
      <w:bodyDiv w:val="1"/>
      <w:marLeft w:val="0"/>
      <w:marRight w:val="0"/>
      <w:marTop w:val="0"/>
      <w:marBottom w:val="0"/>
      <w:divBdr>
        <w:top w:val="none" w:sz="0" w:space="0" w:color="auto"/>
        <w:left w:val="none" w:sz="0" w:space="0" w:color="auto"/>
        <w:bottom w:val="none" w:sz="0" w:space="0" w:color="auto"/>
        <w:right w:val="none" w:sz="0" w:space="0" w:color="auto"/>
      </w:divBdr>
    </w:div>
    <w:div w:id="535311358">
      <w:bodyDiv w:val="1"/>
      <w:marLeft w:val="0"/>
      <w:marRight w:val="0"/>
      <w:marTop w:val="0"/>
      <w:marBottom w:val="0"/>
      <w:divBdr>
        <w:top w:val="none" w:sz="0" w:space="0" w:color="auto"/>
        <w:left w:val="none" w:sz="0" w:space="0" w:color="auto"/>
        <w:bottom w:val="none" w:sz="0" w:space="0" w:color="auto"/>
        <w:right w:val="none" w:sz="0" w:space="0" w:color="auto"/>
      </w:divBdr>
    </w:div>
    <w:div w:id="638074647">
      <w:bodyDiv w:val="1"/>
      <w:marLeft w:val="0"/>
      <w:marRight w:val="0"/>
      <w:marTop w:val="0"/>
      <w:marBottom w:val="0"/>
      <w:divBdr>
        <w:top w:val="none" w:sz="0" w:space="0" w:color="auto"/>
        <w:left w:val="none" w:sz="0" w:space="0" w:color="auto"/>
        <w:bottom w:val="none" w:sz="0" w:space="0" w:color="auto"/>
        <w:right w:val="none" w:sz="0" w:space="0" w:color="auto"/>
      </w:divBdr>
    </w:div>
    <w:div w:id="911238211">
      <w:bodyDiv w:val="1"/>
      <w:marLeft w:val="0"/>
      <w:marRight w:val="0"/>
      <w:marTop w:val="0"/>
      <w:marBottom w:val="0"/>
      <w:divBdr>
        <w:top w:val="none" w:sz="0" w:space="0" w:color="auto"/>
        <w:left w:val="none" w:sz="0" w:space="0" w:color="auto"/>
        <w:bottom w:val="none" w:sz="0" w:space="0" w:color="auto"/>
        <w:right w:val="none" w:sz="0" w:space="0" w:color="auto"/>
      </w:divBdr>
    </w:div>
    <w:div w:id="933904535">
      <w:bodyDiv w:val="1"/>
      <w:marLeft w:val="0"/>
      <w:marRight w:val="0"/>
      <w:marTop w:val="0"/>
      <w:marBottom w:val="0"/>
      <w:divBdr>
        <w:top w:val="none" w:sz="0" w:space="0" w:color="auto"/>
        <w:left w:val="none" w:sz="0" w:space="0" w:color="auto"/>
        <w:bottom w:val="none" w:sz="0" w:space="0" w:color="auto"/>
        <w:right w:val="none" w:sz="0" w:space="0" w:color="auto"/>
      </w:divBdr>
    </w:div>
    <w:div w:id="955797284">
      <w:bodyDiv w:val="1"/>
      <w:marLeft w:val="0"/>
      <w:marRight w:val="0"/>
      <w:marTop w:val="0"/>
      <w:marBottom w:val="0"/>
      <w:divBdr>
        <w:top w:val="none" w:sz="0" w:space="0" w:color="auto"/>
        <w:left w:val="none" w:sz="0" w:space="0" w:color="auto"/>
        <w:bottom w:val="none" w:sz="0" w:space="0" w:color="auto"/>
        <w:right w:val="none" w:sz="0" w:space="0" w:color="auto"/>
      </w:divBdr>
    </w:div>
    <w:div w:id="1025787649">
      <w:bodyDiv w:val="1"/>
      <w:marLeft w:val="0"/>
      <w:marRight w:val="0"/>
      <w:marTop w:val="0"/>
      <w:marBottom w:val="0"/>
      <w:divBdr>
        <w:top w:val="none" w:sz="0" w:space="0" w:color="auto"/>
        <w:left w:val="none" w:sz="0" w:space="0" w:color="auto"/>
        <w:bottom w:val="none" w:sz="0" w:space="0" w:color="auto"/>
        <w:right w:val="none" w:sz="0" w:space="0" w:color="auto"/>
      </w:divBdr>
    </w:div>
    <w:div w:id="1208568786">
      <w:bodyDiv w:val="1"/>
      <w:marLeft w:val="0"/>
      <w:marRight w:val="0"/>
      <w:marTop w:val="0"/>
      <w:marBottom w:val="0"/>
      <w:divBdr>
        <w:top w:val="none" w:sz="0" w:space="0" w:color="auto"/>
        <w:left w:val="none" w:sz="0" w:space="0" w:color="auto"/>
        <w:bottom w:val="none" w:sz="0" w:space="0" w:color="auto"/>
        <w:right w:val="none" w:sz="0" w:space="0" w:color="auto"/>
      </w:divBdr>
    </w:div>
    <w:div w:id="1349215268">
      <w:bodyDiv w:val="1"/>
      <w:marLeft w:val="0"/>
      <w:marRight w:val="0"/>
      <w:marTop w:val="0"/>
      <w:marBottom w:val="0"/>
      <w:divBdr>
        <w:top w:val="none" w:sz="0" w:space="0" w:color="auto"/>
        <w:left w:val="none" w:sz="0" w:space="0" w:color="auto"/>
        <w:bottom w:val="none" w:sz="0" w:space="0" w:color="auto"/>
        <w:right w:val="none" w:sz="0" w:space="0" w:color="auto"/>
      </w:divBdr>
    </w:div>
    <w:div w:id="1401757337">
      <w:bodyDiv w:val="1"/>
      <w:marLeft w:val="0"/>
      <w:marRight w:val="0"/>
      <w:marTop w:val="0"/>
      <w:marBottom w:val="0"/>
      <w:divBdr>
        <w:top w:val="none" w:sz="0" w:space="0" w:color="auto"/>
        <w:left w:val="none" w:sz="0" w:space="0" w:color="auto"/>
        <w:bottom w:val="none" w:sz="0" w:space="0" w:color="auto"/>
        <w:right w:val="none" w:sz="0" w:space="0" w:color="auto"/>
      </w:divBdr>
    </w:div>
    <w:div w:id="1412193513">
      <w:bodyDiv w:val="1"/>
      <w:marLeft w:val="0"/>
      <w:marRight w:val="0"/>
      <w:marTop w:val="0"/>
      <w:marBottom w:val="0"/>
      <w:divBdr>
        <w:top w:val="none" w:sz="0" w:space="0" w:color="auto"/>
        <w:left w:val="none" w:sz="0" w:space="0" w:color="auto"/>
        <w:bottom w:val="none" w:sz="0" w:space="0" w:color="auto"/>
        <w:right w:val="none" w:sz="0" w:space="0" w:color="auto"/>
      </w:divBdr>
    </w:div>
    <w:div w:id="2089884778">
      <w:bodyDiv w:val="1"/>
      <w:marLeft w:val="0"/>
      <w:marRight w:val="0"/>
      <w:marTop w:val="0"/>
      <w:marBottom w:val="0"/>
      <w:divBdr>
        <w:top w:val="none" w:sz="0" w:space="0" w:color="auto"/>
        <w:left w:val="none" w:sz="0" w:space="0" w:color="auto"/>
        <w:bottom w:val="none" w:sz="0" w:space="0" w:color="auto"/>
        <w:right w:val="none" w:sz="0" w:space="0" w:color="auto"/>
      </w:divBdr>
    </w:div>
    <w:div w:id="2120448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overningcouncil.utoronto.ca/secretariat/policies/code-behaviour-academic-matters-july-1-201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King\Documents\Custom%20Office%20Templates\Rotman%20Letterhea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3F702814EF584E8EB76446C5AA05AA" ma:contentTypeVersion="10" ma:contentTypeDescription="Create a new document." ma:contentTypeScope="" ma:versionID="b6d1b7496939e8e97934788699cebb4c">
  <xsd:schema xmlns:xsd="http://www.w3.org/2001/XMLSchema" xmlns:xs="http://www.w3.org/2001/XMLSchema" xmlns:p="http://schemas.microsoft.com/office/2006/metadata/properties" xmlns:ns3="64bca390-2efe-4c85-a671-9650e65ba591" xmlns:ns4="b616d1db-eab6-4734-9298-5a9f3d1d4e96" targetNamespace="http://schemas.microsoft.com/office/2006/metadata/properties" ma:root="true" ma:fieldsID="d4d9e436a802a6a37fa7d0b15a349b64" ns3:_="" ns4:_="">
    <xsd:import namespace="64bca390-2efe-4c85-a671-9650e65ba591"/>
    <xsd:import namespace="b616d1db-eab6-4734-9298-5a9f3d1d4e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ca390-2efe-4c85-a671-9650e65ba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16d1db-eab6-4734-9298-5a9f3d1d4e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0788C-1186-4C93-9735-22329137E3D2}">
  <ds:schemaRefs>
    <ds:schemaRef ds:uri="http://schemas.microsoft.com/sharepoint/v3/contenttype/forms"/>
  </ds:schemaRefs>
</ds:datastoreItem>
</file>

<file path=customXml/itemProps2.xml><?xml version="1.0" encoding="utf-8"?>
<ds:datastoreItem xmlns:ds="http://schemas.openxmlformats.org/officeDocument/2006/customXml" ds:itemID="{2AAE2184-91FF-4ED2-8183-289850F22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ca390-2efe-4c85-a671-9650e65ba591"/>
    <ds:schemaRef ds:uri="b616d1db-eab6-4734-9298-5a9f3d1d4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D10B1D-BA29-4208-803F-AD2D0D7EFC9F}">
  <ds:schemaRefs>
    <ds:schemaRef ds:uri="http://schemas.openxmlformats.org/officeDocument/2006/bibliography"/>
  </ds:schemaRefs>
</ds:datastoreItem>
</file>

<file path=customXml/itemProps4.xml><?xml version="1.0" encoding="utf-8"?>
<ds:datastoreItem xmlns:ds="http://schemas.openxmlformats.org/officeDocument/2006/customXml" ds:itemID="{195BA0B1-54F8-4231-876D-A93B0B22AE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Rotman Letterhead</Template>
  <TotalTime>0</TotalTime>
  <Pages>1</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Rotman School of Management</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King</dc:creator>
  <cp:keywords/>
  <dc:description/>
  <cp:lastModifiedBy>Rituparna Bera</cp:lastModifiedBy>
  <cp:revision>2</cp:revision>
  <cp:lastPrinted>2018-11-29T15:49:00Z</cp:lastPrinted>
  <dcterms:created xsi:type="dcterms:W3CDTF">2025-09-20T03:00:00Z</dcterms:created>
  <dcterms:modified xsi:type="dcterms:W3CDTF">2025-09-20T03:00:00Z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0x010100D93F702814EF584E8EB76446C5AA05AA</vt:lpwstr>
  </property>
</Properties>
</file>