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Comprehensive Field Engineering Monograph</w:t>
      </w:r>
    </w:p>
    <w:p>
      <w:pPr>
        <w:pStyle w:val="BodyText"/>
      </w:pPr>
      <w:r>
        <w:t xml:space="preserve">Volume 2: POS Systems, Vapor Recovery, Emergency Shutoffs, Compliance Protocols, and Electrical Diagnostics</w:t>
      </w:r>
    </w:p>
    <w:p>
      <w:pPr>
        <w:pStyle w:val="BodyText"/>
      </w:pPr>
      <w:r>
        <w:t xml:space="preserve">Prepared by: GPT-4o Expert Research Division</w:t>
      </w:r>
      <w:r>
        <w:br/>
      </w:r>
      <w:r>
        <w:t xml:space="preserve">Industry Scope: Petroleum Equipment Engineering, Compliance Diagnostics, and Control Systems Architecture</w:t>
      </w:r>
    </w:p>
    <w:p>
      <w:r>
        <w:pict>
          <v:rect style="width:0;height:1.5pt" o:hralign="center" o:hrstd="t" o:hr="t"/>
        </w:pict>
      </w:r>
    </w:p>
    <w:bookmarkStart w:id="24" w:name="Xa7afa6a87a6c657441c19b682958cab899914e3"/>
    <w:p>
      <w:pPr>
        <w:pStyle w:val="Heading3"/>
      </w:pPr>
      <w:r>
        <w:t xml:space="preserve">1. Point-of-Sale (POS) System Architecture and Diagnostic Analysis</w:t>
      </w:r>
    </w:p>
    <w:bookmarkStart w:id="20" w:name="Xb59acb6748bd4db658358cd679b4a3c2d5fdba3"/>
    <w:p>
      <w:pPr>
        <w:pStyle w:val="Heading4"/>
      </w:pPr>
      <w:r>
        <w:t xml:space="preserve">1.1 Layered Systems Model in POS Architecture</w:t>
      </w:r>
    </w:p>
    <w:p>
      <w:pPr>
        <w:pStyle w:val="FirstParagraph"/>
      </w:pPr>
      <w:r>
        <w:t xml:space="preserve">The POS ecosystem in a modern retail fuel environment consists of hierarchical communication and control layers: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0 (Hardware)</w:t>
      </w:r>
      <w:r>
        <w:t xml:space="preserve">: CRIND interface (Card Reader In Dispenser), in-store terminal, pinpads, printers, and local processors.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1 (Middleware)</w:t>
      </w:r>
      <w:r>
        <w:t xml:space="preserve">: Site controller (e.g., Verifone Commander, Gilbarco Passport), operating as a protocol translator and I/O manager.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2 (Network Infrastructure)</w:t>
      </w:r>
      <w:r>
        <w:t xml:space="preserve">: TCP/IP or RS-485 two-wire loop, managing authorization, price book sync, and transaction payloads.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3 (Application Layer)</w:t>
      </w:r>
      <w:r>
        <w:t xml:space="preserve">: Payment gateway interface, loyalty system, back-office software (Gilbarco Insite360, Verifone Edge).</w:t>
      </w:r>
    </w:p>
    <w:bookmarkEnd w:id="20"/>
    <w:bookmarkStart w:id="21" w:name="failure-mode-taxonomy"/>
    <w:p>
      <w:pPr>
        <w:pStyle w:val="Heading4"/>
      </w:pPr>
      <w:r>
        <w:t xml:space="preserve">1.2 Failure Mode Taxonomy</w:t>
      </w:r>
    </w:p>
    <w:p>
      <w:pPr>
        <w:pStyle w:val="FirstParagraph"/>
      </w:pPr>
      <w:r>
        <w:rPr>
          <w:b/>
          <w:bCs/>
        </w:rPr>
        <w:t xml:space="preserve">Transient Faults</w:t>
      </w:r>
      <w:r>
        <w:t xml:space="preserve">:</w:t>
      </w:r>
      <w:r>
        <w:t xml:space="preserve"> </w:t>
      </w:r>
      <w:r>
        <w:t xml:space="preserve">- POS stalls mid-transaction due to loop timeouts.</w:t>
      </w:r>
      <w:r>
        <w:t xml:space="preserve"> </w:t>
      </w:r>
      <w:r>
        <w:t xml:space="preserve">- CRIND not initializing due to corrupted cache/flash write lock.</w:t>
      </w:r>
    </w:p>
    <w:p>
      <w:pPr>
        <w:pStyle w:val="BodyText"/>
      </w:pPr>
      <w:r>
        <w:rPr>
          <w:b/>
          <w:bCs/>
        </w:rPr>
        <w:t xml:space="preserve">Chronic Systemic Failures</w:t>
      </w:r>
      <w:r>
        <w:t xml:space="preserve">:</w:t>
      </w:r>
      <w:r>
        <w:t xml:space="preserve"> </w:t>
      </w:r>
      <w:r>
        <w:t xml:space="preserve">- Inconsistent pump-authorizations due to duplicate dispenser addressing (loop collision).</w:t>
      </w:r>
      <w:r>
        <w:t xml:space="preserve"> </w:t>
      </w:r>
      <w:r>
        <w:t xml:space="preserve">- IP-based CRIND dropouts caused by DHCP lease expiry in VLAN with insufficient reservation.</w:t>
      </w:r>
    </w:p>
    <w:bookmarkEnd w:id="21"/>
    <w:bookmarkStart w:id="22" w:name="diagnostic-flow-protocol"/>
    <w:p>
      <w:pPr>
        <w:pStyle w:val="Heading4"/>
      </w:pPr>
      <w:r>
        <w:t xml:space="preserve">1.3 Diagnostic Flow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Ping &amp; Trace</w:t>
      </w:r>
      <w:r>
        <w:t xml:space="preserve">: ICMP pings to CRIND IP; trace route through Layer 2 VLAN.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 Analyzer Use</w:t>
      </w:r>
      <w:r>
        <w:t xml:space="preserve">: Install loop protocol sniffer (e.g., Wayne Serial Inspector, GVR LoopTester Pro) to capture real-time signaling failures.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Profile Audit</w:t>
      </w:r>
      <w:r>
        <w:t xml:space="preserve">: Voltage sag under peak transaction load measured with a high-speed logging DMM or oscilloscope (e.g., Fluke 190 series).</w:t>
      </w:r>
    </w:p>
    <w:bookmarkEnd w:id="22"/>
    <w:bookmarkStart w:id="23" w:name="firmware-protocols-sync-issues"/>
    <w:p>
      <w:pPr>
        <w:pStyle w:val="Heading4"/>
      </w:pPr>
      <w:r>
        <w:t xml:space="preserve">1.4 Firmware, Protocols &amp; Sync Issues</w:t>
      </w:r>
    </w:p>
    <w:p>
      <w:pPr>
        <w:pStyle w:val="Compact"/>
        <w:numPr>
          <w:ilvl w:val="0"/>
          <w:numId w:val="1002"/>
        </w:numPr>
      </w:pPr>
      <w:r>
        <w:t xml:space="preserve">Identify mismatch in firmware versions across CRINDs (e.g., Verifone Secure PumpPay 3.1.x vs. controller 2.x).</w:t>
      </w:r>
    </w:p>
    <w:p>
      <w:pPr>
        <w:pStyle w:val="Compact"/>
        <w:numPr>
          <w:ilvl w:val="0"/>
          <w:numId w:val="1002"/>
        </w:numPr>
      </w:pPr>
      <w:r>
        <w:t xml:space="preserve">Verify EPP compliance with current EMV Level 2 kernel.</w:t>
      </w:r>
    </w:p>
    <w:p>
      <w:pPr>
        <w:pStyle w:val="Compact"/>
        <w:numPr>
          <w:ilvl w:val="0"/>
          <w:numId w:val="1002"/>
        </w:numPr>
      </w:pPr>
      <w:r>
        <w:t xml:space="preserve">Confirm PCI-DSS logging and encryption module hash verification.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d8493c466dc41db108e7850668a88ddf7c5180e"/>
    <w:p>
      <w:pPr>
        <w:pStyle w:val="Heading3"/>
      </w:pPr>
      <w:r>
        <w:t xml:space="preserve">2. Vapor Recovery Systems – Mechanisms, Monitoring, and Lifecycle Management</w:t>
      </w:r>
    </w:p>
    <w:bookmarkStart w:id="25" w:name="stage-i-ii-system-comparative-dynamics"/>
    <w:p>
      <w:pPr>
        <w:pStyle w:val="Heading4"/>
      </w:pPr>
      <w:r>
        <w:t xml:space="preserve">2.1 Stage I &amp; II System Comparative Dynamics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I</w:t>
      </w:r>
      <w:r>
        <w:t xml:space="preserve">: Atmospheric vapor displacement captured during fuel delivery. Includes vapor recovery adapters, coaxial drop tubes, and vent lines fitted with P/V valves.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II</w:t>
      </w:r>
      <w:r>
        <w:t xml:space="preserve">: Customer-side recovery during dispensing. Includes vacuum-assist systems (VaporVac, Healy VP1000) or balance systems with dual-hose venturi configurations.</w:t>
      </w:r>
    </w:p>
    <w:bookmarkEnd w:id="25"/>
    <w:bookmarkStart w:id="26" w:name="Xeb10b820c11ea30b416d39dd73820677bb6de86"/>
    <w:p>
      <w:pPr>
        <w:pStyle w:val="Heading4"/>
      </w:pPr>
      <w:r>
        <w:t xml:space="preserve">2.2 Integrated In-Station Diagnostics (ISD) Systems</w:t>
      </w:r>
    </w:p>
    <w:p>
      <w:pPr>
        <w:pStyle w:val="Compact"/>
        <w:numPr>
          <w:ilvl w:val="0"/>
          <w:numId w:val="1004"/>
        </w:numPr>
      </w:pPr>
      <w:r>
        <w:t xml:space="preserve">Mandated in CA and other CARB-aligned jurisdictions.</w:t>
      </w:r>
    </w:p>
    <w:p>
      <w:pPr>
        <w:pStyle w:val="Compact"/>
        <w:numPr>
          <w:ilvl w:val="0"/>
          <w:numId w:val="1004"/>
        </w:numPr>
      </w:pPr>
      <w:r>
        <w:t xml:space="preserve">Monitors vapor-to-liquid ratios (V/L), vacuum line integrity, and motor current draw.</w:t>
      </w:r>
    </w:p>
    <w:p>
      <w:pPr>
        <w:pStyle w:val="Compact"/>
        <w:numPr>
          <w:ilvl w:val="0"/>
          <w:numId w:val="1004"/>
        </w:numPr>
      </w:pPr>
      <w:r>
        <w:t xml:space="preserve">Flowrate requirements: V/L = 1.0 ± 0.2 across 5–12 GPM delivery rates.</w:t>
      </w:r>
    </w:p>
    <w:bookmarkEnd w:id="26"/>
    <w:bookmarkStart w:id="27" w:name="maintenance-protocols"/>
    <w:p>
      <w:pPr>
        <w:pStyle w:val="Heading4"/>
      </w:pPr>
      <w:r>
        <w:t xml:space="preserve">2.3 Maintenance Protocols</w:t>
      </w:r>
    </w:p>
    <w:p>
      <w:pPr>
        <w:pStyle w:val="Compact"/>
        <w:numPr>
          <w:ilvl w:val="0"/>
          <w:numId w:val="1005"/>
        </w:numPr>
      </w:pPr>
      <w:r>
        <w:t xml:space="preserve">Conduct dynamic backpressure testing (CARB TP-201.4) using certified test canister.</w:t>
      </w:r>
    </w:p>
    <w:p>
      <w:pPr>
        <w:pStyle w:val="Compact"/>
        <w:numPr>
          <w:ilvl w:val="0"/>
          <w:numId w:val="1005"/>
        </w:numPr>
      </w:pPr>
      <w:r>
        <w:t xml:space="preserve">Replace carbon canisters when adsorption efficiency drops below 80% (tested via vapor breakthrough detectors).</w:t>
      </w:r>
    </w:p>
    <w:p>
      <w:pPr>
        <w:pStyle w:val="Compact"/>
        <w:numPr>
          <w:ilvl w:val="0"/>
          <w:numId w:val="1005"/>
        </w:numPr>
      </w:pPr>
      <w:r>
        <w:t xml:space="preserve">Validate vacuum motor RPM, load current, and noise signature using motor analyzers (Fluke 438-II).</w:t>
      </w:r>
    </w:p>
    <w:bookmarkEnd w:id="27"/>
    <w:bookmarkStart w:id="28" w:name="Xe82f378febbbc58baf6d98c035bb845f461eba1"/>
    <w:p>
      <w:pPr>
        <w:pStyle w:val="Heading4"/>
      </w:pPr>
      <w:r>
        <w:t xml:space="preserve">2.4 Sensor Network Topology and Failure Modes</w:t>
      </w:r>
    </w:p>
    <w:p>
      <w:pPr>
        <w:pStyle w:val="Compact"/>
        <w:numPr>
          <w:ilvl w:val="0"/>
          <w:numId w:val="1006"/>
        </w:numPr>
      </w:pPr>
      <w:r>
        <w:t xml:space="preserve">Differential pressure sensors (e.g., Veeder-Root ISD DP) fail open when exposed to sub-ambient temp condensation.</w:t>
      </w:r>
    </w:p>
    <w:p>
      <w:pPr>
        <w:pStyle w:val="Compact"/>
        <w:numPr>
          <w:ilvl w:val="0"/>
          <w:numId w:val="1006"/>
        </w:numPr>
      </w:pPr>
      <w:r>
        <w:t xml:space="preserve">Reed switch alignment in nozzle vapor pathway must be verified with magnet response field test.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53b0f4f9eb0636ab5910ae6c5630c45d054315f"/>
    <w:p>
      <w:pPr>
        <w:pStyle w:val="Heading3"/>
      </w:pPr>
      <w:r>
        <w:t xml:space="preserve">3. Emergency Shutoff Systems and Shear Valve Engineering</w:t>
      </w:r>
    </w:p>
    <w:bookmarkStart w:id="30" w:name="design-intent-and-mechanical-physics"/>
    <w:p>
      <w:pPr>
        <w:pStyle w:val="Heading4"/>
      </w:pPr>
      <w:r>
        <w:t xml:space="preserve">3.1 Design Intent and Mechanical Physics</w:t>
      </w:r>
    </w:p>
    <w:p>
      <w:pPr>
        <w:pStyle w:val="Compact"/>
        <w:numPr>
          <w:ilvl w:val="0"/>
          <w:numId w:val="1007"/>
        </w:numPr>
      </w:pPr>
      <w:r>
        <w:t xml:space="preserve">Shear valves must be anchored with a maximum ±½” vertical deviation from grade-level to guarantee shearing efficacy.</w:t>
      </w:r>
    </w:p>
    <w:p>
      <w:pPr>
        <w:pStyle w:val="Compact"/>
        <w:numPr>
          <w:ilvl w:val="0"/>
          <w:numId w:val="1007"/>
        </w:numPr>
      </w:pPr>
      <w:r>
        <w:t xml:space="preserve">Activation via lateral force transfers energy through the housing to spring-loaded poppets that seal both upstream and downstream flows within 150ms.</w:t>
      </w:r>
    </w:p>
    <w:bookmarkEnd w:id="30"/>
    <w:bookmarkStart w:id="31" w:name="testing-protocol"/>
    <w:p>
      <w:pPr>
        <w:pStyle w:val="Heading4"/>
      </w:pPr>
      <w:r>
        <w:t xml:space="preserve">3.2 Testing Protocol</w:t>
      </w:r>
    </w:p>
    <w:p>
      <w:pPr>
        <w:pStyle w:val="Compact"/>
        <w:numPr>
          <w:ilvl w:val="0"/>
          <w:numId w:val="1008"/>
        </w:numPr>
      </w:pPr>
      <w:r>
        <w:t xml:space="preserve">Simulate impact using ASTM D4987-rated lateral pull jig.</w:t>
      </w:r>
    </w:p>
    <w:p>
      <w:pPr>
        <w:pStyle w:val="Compact"/>
        <w:numPr>
          <w:ilvl w:val="0"/>
          <w:numId w:val="1008"/>
        </w:numPr>
      </w:pPr>
      <w:r>
        <w:t xml:space="preserve">Use calibrated torque arm with digital force gauge to record breakaway force.</w:t>
      </w:r>
    </w:p>
    <w:p>
      <w:pPr>
        <w:pStyle w:val="Compact"/>
        <w:numPr>
          <w:ilvl w:val="0"/>
          <w:numId w:val="1008"/>
        </w:numPr>
      </w:pPr>
      <w:r>
        <w:t xml:space="preserve">Inspect for stem eccentricity post-activation using laser alignment jig.</w:t>
      </w:r>
    </w:p>
    <w:bookmarkEnd w:id="31"/>
    <w:bookmarkStart w:id="32" w:name="material-engineering"/>
    <w:p>
      <w:pPr>
        <w:pStyle w:val="Heading4"/>
      </w:pPr>
      <w:r>
        <w:t xml:space="preserve">3.3 Material Engineering</w:t>
      </w:r>
    </w:p>
    <w:p>
      <w:pPr>
        <w:pStyle w:val="Compact"/>
        <w:numPr>
          <w:ilvl w:val="0"/>
          <w:numId w:val="1009"/>
        </w:numPr>
      </w:pPr>
      <w:r>
        <w:t xml:space="preserve">O-ring seals must be Buna-N or Viton, hydrocarbon-compatible, with Shore A hardness between 70–90.</w:t>
      </w:r>
    </w:p>
    <w:p>
      <w:pPr>
        <w:pStyle w:val="Compact"/>
        <w:numPr>
          <w:ilvl w:val="0"/>
          <w:numId w:val="1009"/>
        </w:numPr>
      </w:pPr>
      <w:r>
        <w:t xml:space="preserve">Seat wear tested using dynamic cycle rig: 10,000 open/close cycles at 150 psi.</w:t>
      </w:r>
    </w:p>
    <w:bookmarkEnd w:id="32"/>
    <w:bookmarkStart w:id="33" w:name="failure-analytics"/>
    <w:p>
      <w:pPr>
        <w:pStyle w:val="Heading4"/>
      </w:pPr>
      <w:r>
        <w:t xml:space="preserve">3.4 Failure Analytics</w:t>
      </w:r>
    </w:p>
    <w:p>
      <w:pPr>
        <w:pStyle w:val="Compact"/>
        <w:numPr>
          <w:ilvl w:val="0"/>
          <w:numId w:val="1010"/>
        </w:numPr>
      </w:pPr>
      <w:r>
        <w:t xml:space="preserve">Confirm valve closure by pressure decay test: drop &gt;10 psi in &lt;15 seconds indicates incomplete closure.</w:t>
      </w:r>
    </w:p>
    <w:p>
      <w:pPr>
        <w:pStyle w:val="Compact"/>
        <w:numPr>
          <w:ilvl w:val="0"/>
          <w:numId w:val="1010"/>
        </w:numPr>
      </w:pPr>
      <w:r>
        <w:t xml:space="preserve">Inspect for brittle fracture if valve failed prematurely – common in aged nylon or impact-exposed aluminum bodies.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a8200eff0183503fc2e5150a55429bc6615539e"/>
    <w:p>
      <w:pPr>
        <w:pStyle w:val="Heading3"/>
      </w:pPr>
      <w:r>
        <w:t xml:space="preserve">4. Regulatory Testing and Documentation Protocols</w:t>
      </w:r>
    </w:p>
    <w:bookmarkStart w:id="35" w:name="testing-framework"/>
    <w:p>
      <w:pPr>
        <w:pStyle w:val="Heading4"/>
      </w:pPr>
      <w:r>
        <w:t xml:space="preserve">4.1 Testing Framework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Leak Tests</w:t>
      </w:r>
      <w:r>
        <w:t xml:space="preserve">: Must conform to EPA 40 CFR §280.43. USTs require monthly 0.2 GPH ATG test, and annual 0.1 GPH line leak test.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Spill Bucket Integrity</w:t>
      </w:r>
      <w:r>
        <w:t xml:space="preserve">: Hydrostatic test (with brine or water) must hold pressure for 1 hour with no visible fluid loss.</w:t>
      </w:r>
    </w:p>
    <w:bookmarkEnd w:id="35"/>
    <w:bookmarkStart w:id="36" w:name="documentation-workflow"/>
    <w:p>
      <w:pPr>
        <w:pStyle w:val="Heading4"/>
      </w:pPr>
      <w:r>
        <w:t xml:space="preserve">4.2 Documentation Workflow</w:t>
      </w:r>
    </w:p>
    <w:p>
      <w:pPr>
        <w:pStyle w:val="Compact"/>
        <w:numPr>
          <w:ilvl w:val="0"/>
          <w:numId w:val="1012"/>
        </w:numPr>
      </w:pPr>
      <w:r>
        <w:t xml:space="preserve">Utilize ICC-certified log templates (PEI/RP1200 compliant).</w:t>
      </w:r>
    </w:p>
    <w:p>
      <w:pPr>
        <w:pStyle w:val="Compact"/>
        <w:numPr>
          <w:ilvl w:val="0"/>
          <w:numId w:val="1012"/>
        </w:numPr>
      </w:pPr>
      <w:r>
        <w:t xml:space="preserve">Digitally sign and archive each test report with metadata: tech ID, test type, calibration certificate, site location, and equipment serial.</w:t>
      </w:r>
    </w:p>
    <w:p>
      <w:pPr>
        <w:pStyle w:val="Compact"/>
        <w:numPr>
          <w:ilvl w:val="0"/>
          <w:numId w:val="1012"/>
        </w:numPr>
      </w:pPr>
      <w:r>
        <w:t xml:space="preserve">Maintain dual-redundant storage: cloud + encrypted external archive.</w:t>
      </w:r>
    </w:p>
    <w:bookmarkEnd w:id="36"/>
    <w:bookmarkStart w:id="37" w:name="common-audit-failures"/>
    <w:p>
      <w:pPr>
        <w:pStyle w:val="Heading4"/>
      </w:pPr>
      <w:r>
        <w:t xml:space="preserve">4.3 Common Audit Failures</w:t>
      </w:r>
    </w:p>
    <w:p>
      <w:pPr>
        <w:pStyle w:val="Compact"/>
        <w:numPr>
          <w:ilvl w:val="0"/>
          <w:numId w:val="1013"/>
        </w:numPr>
      </w:pPr>
      <w:r>
        <w:t xml:space="preserve">Incomplete ATG records (missing 3-month data during Q4).</w:t>
      </w:r>
    </w:p>
    <w:p>
      <w:pPr>
        <w:pStyle w:val="Compact"/>
        <w:numPr>
          <w:ilvl w:val="0"/>
          <w:numId w:val="1013"/>
        </w:numPr>
      </w:pPr>
      <w:r>
        <w:t xml:space="preserve">Line test conducted with incompatible manifold configuration.</w:t>
      </w:r>
    </w:p>
    <w:p>
      <w:pPr>
        <w:pStyle w:val="Compact"/>
        <w:numPr>
          <w:ilvl w:val="0"/>
          <w:numId w:val="1013"/>
        </w:numPr>
      </w:pPr>
      <w:r>
        <w:t xml:space="preserve">Incorrect tank chart scale factor results in misreported ullage.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ab757181c90fcde4224383b2c196e4eab37e0c3"/>
    <w:p>
      <w:pPr>
        <w:pStyle w:val="Heading3"/>
      </w:pPr>
      <w:r>
        <w:t xml:space="preserve">5. Electrical Diagnostics in Class I Division 1 Environments</w:t>
      </w:r>
    </w:p>
    <w:bookmarkStart w:id="39" w:name="grounding-schematics"/>
    <w:p>
      <w:pPr>
        <w:pStyle w:val="Heading4"/>
      </w:pPr>
      <w:r>
        <w:t xml:space="preserve">5.1 Grounding Schematics</w:t>
      </w:r>
    </w:p>
    <w:p>
      <w:pPr>
        <w:pStyle w:val="Compact"/>
        <w:numPr>
          <w:ilvl w:val="0"/>
          <w:numId w:val="1014"/>
        </w:numPr>
      </w:pPr>
      <w:r>
        <w:t xml:space="preserve">NEC 514.16: All exposed conductive parts must bond to grounding electrode system.</w:t>
      </w:r>
    </w:p>
    <w:p>
      <w:pPr>
        <w:pStyle w:val="Compact"/>
        <w:numPr>
          <w:ilvl w:val="0"/>
          <w:numId w:val="1014"/>
        </w:numPr>
      </w:pPr>
      <w:r>
        <w:t xml:space="preserve">Ground resistance at each dispenser must measure &lt;25Ω using the three-point fall-of-potential test.</w:t>
      </w:r>
    </w:p>
    <w:bookmarkEnd w:id="39"/>
    <w:bookmarkStart w:id="40" w:name="isolation-noise-diagnostics"/>
    <w:p>
      <w:pPr>
        <w:pStyle w:val="Heading4"/>
      </w:pPr>
      <w:r>
        <w:t xml:space="preserve">5.2 Isolation &amp; Noise Diagnostics</w:t>
      </w:r>
    </w:p>
    <w:p>
      <w:pPr>
        <w:pStyle w:val="Compact"/>
        <w:numPr>
          <w:ilvl w:val="0"/>
          <w:numId w:val="1015"/>
        </w:numPr>
      </w:pPr>
      <w:r>
        <w:t xml:space="preserve">Use a clamp-on leakage current meter to detect unbalanced currents ≥1mA.</w:t>
      </w:r>
    </w:p>
    <w:p>
      <w:pPr>
        <w:pStyle w:val="Compact"/>
        <w:numPr>
          <w:ilvl w:val="0"/>
          <w:numId w:val="1015"/>
        </w:numPr>
      </w:pPr>
      <w:r>
        <w:t xml:space="preserve">Use an oscilloscope with high-voltage differential probes to trace ground transients.</w:t>
      </w:r>
    </w:p>
    <w:p>
      <w:pPr>
        <w:pStyle w:val="Compact"/>
        <w:numPr>
          <w:ilvl w:val="0"/>
          <w:numId w:val="1015"/>
        </w:numPr>
      </w:pPr>
      <w:r>
        <w:t xml:space="preserve">Evaluate harmonic distortion in neutral lines (&gt;3% THD is a red flag for EMI interference).</w:t>
      </w:r>
    </w:p>
    <w:bookmarkEnd w:id="40"/>
    <w:bookmarkStart w:id="41" w:name="surge-protection-engineering"/>
    <w:p>
      <w:pPr>
        <w:pStyle w:val="Heading4"/>
      </w:pPr>
      <w:r>
        <w:t xml:space="preserve">5.3 Surge Protection Engineering</w:t>
      </w:r>
    </w:p>
    <w:p>
      <w:pPr>
        <w:pStyle w:val="Compact"/>
        <w:numPr>
          <w:ilvl w:val="0"/>
          <w:numId w:val="1016"/>
        </w:numPr>
      </w:pPr>
      <w:r>
        <w:t xml:space="preserve">Install MOV-based SPD (UL 1449 4th Edition) at distribution panel.</w:t>
      </w:r>
    </w:p>
    <w:p>
      <w:pPr>
        <w:pStyle w:val="Compact"/>
        <w:numPr>
          <w:ilvl w:val="0"/>
          <w:numId w:val="1016"/>
        </w:numPr>
      </w:pPr>
      <w:r>
        <w:t xml:space="preserve">Use isolated earth bar for low-voltage ATG and POS systems.</w:t>
      </w:r>
    </w:p>
    <w:p>
      <w:pPr>
        <w:pStyle w:val="Compact"/>
        <w:numPr>
          <w:ilvl w:val="0"/>
          <w:numId w:val="1016"/>
        </w:numPr>
      </w:pPr>
      <w:r>
        <w:t xml:space="preserve">Validate shield terminations with capacitance-resistance testing (10nF–30nF target per segment).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</w:t>
      </w:r>
      <w:r>
        <w:t xml:space="preserve">: This advanced monograph delivers a granular, systems-level understanding of petroleum infrastructure, positioning technicians and engineers for precision field diagnostics, compliance assurance, and systems reliability modeling. The content herein serves as a baseline for AI model training, digital twin simulation calibration, and augmented field service deployment.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2025-08-25T01:44:20Z</dcterms:created>
  <dcterms:modified xsi:type="dcterms:W3CDTF">2025-08-25T01:44:20Z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