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Comprehensive Field Engineering Monograph</w:t>
      </w:r>
    </w:p>
    <w:p>
      <w:pPr>
        <w:pStyle w:val="BodyText"/>
      </w:pPr>
      <w:r>
        <w:t xml:space="preserve">Volume 3: UST Construction Standards, Engineering Procedures, and Site Commissioning Protocols</w:t>
      </w:r>
    </w:p>
    <w:p>
      <w:pPr>
        <w:pStyle w:val="BodyText"/>
      </w:pPr>
      <w:r>
        <w:t xml:space="preserve">Prepared by: GPT-4o Expert Research Division</w:t>
      </w:r>
      <w:r>
        <w:br/>
      </w:r>
      <w:r>
        <w:t xml:space="preserve">Industry Scope: UST Installation Engineering, Petroleum Infrastructure Construction, and Code Compliance</w:t>
      </w:r>
    </w:p>
    <w:p>
      <w:r>
        <w:pict>
          <v:rect style="width:0;height:1.5pt" o:hralign="center" o:hrstd="t" o:hr="t"/>
        </w:pict>
      </w:r>
    </w:p>
    <w:bookmarkStart w:id="23" w:name="X10adcefea603de4421c3363d6b3487cdeb44daf"/>
    <w:p>
      <w:pPr>
        <w:pStyle w:val="Heading3"/>
      </w:pPr>
      <w:r>
        <w:t xml:space="preserve">1. Site Evaluation and Civil Planning Requirements</w:t>
      </w:r>
    </w:p>
    <w:bookmarkStart w:id="20" w:name="geotechnical-assessment"/>
    <w:p>
      <w:pPr>
        <w:pStyle w:val="Heading4"/>
      </w:pPr>
      <w:r>
        <w:t xml:space="preserve">1.1 Geotechnical Assessment</w:t>
      </w:r>
    </w:p>
    <w:p>
      <w:pPr>
        <w:pStyle w:val="Compact"/>
        <w:numPr>
          <w:ilvl w:val="0"/>
          <w:numId w:val="1001"/>
        </w:numPr>
      </w:pPr>
      <w:r>
        <w:t xml:space="preserve">Perform ASTM D2487 soil classification to assess soil bearing capacity (target &gt;2000 psf for UST pad)</w:t>
      </w:r>
    </w:p>
    <w:p>
      <w:pPr>
        <w:pStyle w:val="Compact"/>
        <w:numPr>
          <w:ilvl w:val="0"/>
          <w:numId w:val="1001"/>
        </w:numPr>
      </w:pPr>
      <w:r>
        <w:t xml:space="preserve">Conduct GPR and magnetometer scans for subsurface obstructions</w:t>
      </w:r>
    </w:p>
    <w:p>
      <w:pPr>
        <w:pStyle w:val="Compact"/>
        <w:numPr>
          <w:ilvl w:val="0"/>
          <w:numId w:val="1001"/>
        </w:numPr>
      </w:pPr>
      <w:r>
        <w:t xml:space="preserve">Survey elevation contours and model fuel flow path using hydrodynamic terrain modeling (e.g., HEC-RAS integration)</w:t>
      </w:r>
    </w:p>
    <w:bookmarkEnd w:id="20"/>
    <w:bookmarkStart w:id="21" w:name="permitting-and-compliance-package"/>
    <w:p>
      <w:pPr>
        <w:pStyle w:val="Heading4"/>
      </w:pPr>
      <w:r>
        <w:t xml:space="preserve">1.2 Permitting and Compliance Package</w:t>
      </w:r>
    </w:p>
    <w:p>
      <w:pPr>
        <w:pStyle w:val="Compact"/>
        <w:numPr>
          <w:ilvl w:val="0"/>
          <w:numId w:val="1002"/>
        </w:numPr>
      </w:pPr>
      <w:r>
        <w:t xml:space="preserve">Submit scaled drawings (1:20 or 1:40) to AHJ</w:t>
      </w:r>
    </w:p>
    <w:p>
      <w:pPr>
        <w:pStyle w:val="Compact"/>
        <w:numPr>
          <w:ilvl w:val="0"/>
          <w:numId w:val="1002"/>
        </w:numPr>
      </w:pPr>
      <w:r>
        <w:t xml:space="preserve">Incorporate setback requirements per NFPA 30A: 10 ft from property line, 25 ft from public right-of-way</w:t>
      </w:r>
    </w:p>
    <w:p>
      <w:pPr>
        <w:pStyle w:val="Compact"/>
        <w:numPr>
          <w:ilvl w:val="0"/>
          <w:numId w:val="1002"/>
        </w:numPr>
      </w:pPr>
      <w:r>
        <w:t xml:space="preserve">Ensure NEPA clearance for environmentally sensitive zones; include SPCC plan</w:t>
      </w:r>
    </w:p>
    <w:bookmarkEnd w:id="21"/>
    <w:bookmarkStart w:id="22" w:name="site-staging-and-material-laydown"/>
    <w:p>
      <w:pPr>
        <w:pStyle w:val="Heading4"/>
      </w:pPr>
      <w:r>
        <w:t xml:space="preserve">1.3 Site Staging and Material Laydown</w:t>
      </w:r>
    </w:p>
    <w:p>
      <w:pPr>
        <w:pStyle w:val="Compact"/>
        <w:numPr>
          <w:ilvl w:val="0"/>
          <w:numId w:val="1003"/>
        </w:numPr>
      </w:pPr>
      <w:r>
        <w:t xml:space="preserve">Designate Class II laydown zone for fiberglass tank staging (non-reactive bedding)</w:t>
      </w:r>
    </w:p>
    <w:p>
      <w:pPr>
        <w:pStyle w:val="Compact"/>
        <w:numPr>
          <w:ilvl w:val="0"/>
          <w:numId w:val="1003"/>
        </w:numPr>
      </w:pPr>
      <w:r>
        <w:t xml:space="preserve">Include RFI (Request for Information) queue and BIM coordination with electrical and mechanical trades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tank-bedding-placement-and-anchoring"/>
    <w:p>
      <w:pPr>
        <w:pStyle w:val="Heading3"/>
      </w:pPr>
      <w:r>
        <w:t xml:space="preserve">2. Tank Bedding, Placement, and Anchoring</w:t>
      </w:r>
    </w:p>
    <w:bookmarkStart w:id="24" w:name="excavation-and-bedding"/>
    <w:p>
      <w:pPr>
        <w:pStyle w:val="Heading4"/>
      </w:pPr>
      <w:r>
        <w:t xml:space="preserve">2.1 Excavation and Bedding</w:t>
      </w:r>
    </w:p>
    <w:p>
      <w:pPr>
        <w:pStyle w:val="Compact"/>
        <w:numPr>
          <w:ilvl w:val="0"/>
          <w:numId w:val="1004"/>
        </w:numPr>
      </w:pPr>
      <w:r>
        <w:t xml:space="preserve">Excavate to minimum 18–24” beyond tank diameter; verify with laser level to ±0.25”</w:t>
      </w:r>
    </w:p>
    <w:p>
      <w:pPr>
        <w:pStyle w:val="Compact"/>
        <w:numPr>
          <w:ilvl w:val="0"/>
          <w:numId w:val="1004"/>
        </w:numPr>
      </w:pPr>
      <w:r>
        <w:t xml:space="preserve">Use pea gravel or crushed stone (ASTM D448 #8) with compaction to 95% Standard Proctor</w:t>
      </w:r>
    </w:p>
    <w:p>
      <w:pPr>
        <w:pStyle w:val="Compact"/>
        <w:numPr>
          <w:ilvl w:val="0"/>
          <w:numId w:val="1004"/>
        </w:numPr>
      </w:pPr>
      <w:r>
        <w:t xml:space="preserve">Install geotextile barrier to separate bedding from native soil</w:t>
      </w:r>
    </w:p>
    <w:bookmarkEnd w:id="24"/>
    <w:bookmarkStart w:id="25" w:name="tank-lowering-procedure"/>
    <w:p>
      <w:pPr>
        <w:pStyle w:val="Heading4"/>
      </w:pPr>
      <w:r>
        <w:t xml:space="preserve">2.2 Tank Lowering Procedure</w:t>
      </w:r>
    </w:p>
    <w:p>
      <w:pPr>
        <w:pStyle w:val="Compact"/>
        <w:numPr>
          <w:ilvl w:val="0"/>
          <w:numId w:val="1005"/>
        </w:numPr>
      </w:pPr>
      <w:r>
        <w:t xml:space="preserve">Utilize rated nylon or Kevlar straps; rated minimum 3x tank weight</w:t>
      </w:r>
    </w:p>
    <w:p>
      <w:pPr>
        <w:pStyle w:val="Compact"/>
        <w:numPr>
          <w:ilvl w:val="0"/>
          <w:numId w:val="1005"/>
        </w:numPr>
      </w:pPr>
      <w:r>
        <w:t xml:space="preserve">Avoid steel cables to prevent shell abrasion or dielectric compromise</w:t>
      </w:r>
    </w:p>
    <w:p>
      <w:pPr>
        <w:pStyle w:val="Compact"/>
        <w:numPr>
          <w:ilvl w:val="0"/>
          <w:numId w:val="1005"/>
        </w:numPr>
      </w:pPr>
      <w:r>
        <w:t xml:space="preserve">Monitor strain on straps using load cell or digital dynamometer</w:t>
      </w:r>
    </w:p>
    <w:p>
      <w:pPr>
        <w:pStyle w:val="Compact"/>
        <w:numPr>
          <w:ilvl w:val="0"/>
          <w:numId w:val="1005"/>
        </w:numPr>
      </w:pPr>
      <w:r>
        <w:t xml:space="preserve">Confirm tank pitch (slope) of 1/8” per foot for product drainage toward suction tube</w:t>
      </w:r>
    </w:p>
    <w:bookmarkEnd w:id="25"/>
    <w:bookmarkStart w:id="26" w:name="anchoring-methodologies"/>
    <w:p>
      <w:pPr>
        <w:pStyle w:val="Heading4"/>
      </w:pPr>
      <w:r>
        <w:t xml:space="preserve">2.3 Anchoring Methodologies</w:t>
      </w:r>
    </w:p>
    <w:p>
      <w:pPr>
        <w:pStyle w:val="Compact"/>
        <w:numPr>
          <w:ilvl w:val="0"/>
          <w:numId w:val="1006"/>
        </w:numPr>
      </w:pPr>
      <w:r>
        <w:t xml:space="preserve">For high water table sites (&gt;3 ft from base):</w:t>
      </w:r>
    </w:p>
    <w:p>
      <w:pPr>
        <w:pStyle w:val="Compact"/>
        <w:numPr>
          <w:ilvl w:val="1"/>
          <w:numId w:val="1007"/>
        </w:numPr>
      </w:pPr>
      <w:r>
        <w:t xml:space="preserve">Use concrete deadmen anchors with stainless steel turnbuckles and tensioning rods</w:t>
      </w:r>
    </w:p>
    <w:p>
      <w:pPr>
        <w:pStyle w:val="Compact"/>
        <w:numPr>
          <w:ilvl w:val="1"/>
          <w:numId w:val="1007"/>
        </w:numPr>
      </w:pPr>
      <w:r>
        <w:t xml:space="preserve">Confirm anchor load to exceed buoyant uplift force: V = (Vwt - Wt) x safety factor (≥1.5)</w:t>
      </w:r>
    </w:p>
    <w:p>
      <w:pPr>
        <w:pStyle w:val="Compact"/>
        <w:numPr>
          <w:ilvl w:val="0"/>
          <w:numId w:val="1006"/>
        </w:numPr>
      </w:pPr>
      <w:r>
        <w:t xml:space="preserve">Torque straps to manufacturer specification (typically 150–250 ft-lbs) and verify with torque wrench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01e791193ae6d7af3b1f24730b2a9deff61c324"/>
    <w:p>
      <w:pPr>
        <w:pStyle w:val="Heading3"/>
      </w:pPr>
      <w:r>
        <w:t xml:space="preserve">3. Piping Systems Installation – Pressure and Vent</w:t>
      </w:r>
    </w:p>
    <w:bookmarkStart w:id="28" w:name="primary-and-secondary-containment"/>
    <w:p>
      <w:pPr>
        <w:pStyle w:val="Heading4"/>
      </w:pPr>
      <w:r>
        <w:t xml:space="preserve">3.1 Primary and Secondary Containment</w:t>
      </w:r>
    </w:p>
    <w:p>
      <w:pPr>
        <w:pStyle w:val="Compact"/>
        <w:numPr>
          <w:ilvl w:val="0"/>
          <w:numId w:val="1008"/>
        </w:numPr>
      </w:pPr>
      <w:r>
        <w:t xml:space="preserve">All piping must be double-walled (UL 971 listed), with interstitial space integrity tested per PEI RP100</w:t>
      </w:r>
    </w:p>
    <w:p>
      <w:pPr>
        <w:pStyle w:val="Compact"/>
        <w:numPr>
          <w:ilvl w:val="0"/>
          <w:numId w:val="1008"/>
        </w:numPr>
      </w:pPr>
      <w:r>
        <w:t xml:space="preserve">Secondary piping must maintain slope of 1/8” per foot toward containment sump</w:t>
      </w:r>
    </w:p>
    <w:p>
      <w:pPr>
        <w:pStyle w:val="Compact"/>
        <w:numPr>
          <w:ilvl w:val="0"/>
          <w:numId w:val="1008"/>
        </w:numPr>
      </w:pPr>
      <w:r>
        <w:t xml:space="preserve">Install entry boots with compression or mechanical seal; torque to 35–50 in-lbs</w:t>
      </w:r>
    </w:p>
    <w:bookmarkEnd w:id="28"/>
    <w:bookmarkStart w:id="29" w:name="vent-line-configuration"/>
    <w:p>
      <w:pPr>
        <w:pStyle w:val="Heading4"/>
      </w:pPr>
      <w:r>
        <w:t xml:space="preserve">3.2 Vent Line Configuration</w:t>
      </w:r>
    </w:p>
    <w:p>
      <w:pPr>
        <w:pStyle w:val="Compact"/>
        <w:numPr>
          <w:ilvl w:val="0"/>
          <w:numId w:val="1009"/>
        </w:numPr>
      </w:pPr>
      <w:r>
        <w:t xml:space="preserve">Use Schedule 40 galvanized steel or flexible composite UL-listed material</w:t>
      </w:r>
    </w:p>
    <w:p>
      <w:pPr>
        <w:pStyle w:val="Compact"/>
        <w:numPr>
          <w:ilvl w:val="0"/>
          <w:numId w:val="1009"/>
        </w:numPr>
      </w:pPr>
      <w:r>
        <w:t xml:space="preserve">Vent must terminate minimum 12’ above grade, 10’ from openings or intakes</w:t>
      </w:r>
    </w:p>
    <w:p>
      <w:pPr>
        <w:pStyle w:val="Compact"/>
        <w:numPr>
          <w:ilvl w:val="0"/>
          <w:numId w:val="1009"/>
        </w:numPr>
      </w:pPr>
      <w:r>
        <w:t xml:space="preserve">Add P/V vent cap to maintain atmospheric pressure and mitigate vapor escape (2.5” WC pressure, 6.0” WC vacuum)</w:t>
      </w:r>
    </w:p>
    <w:bookmarkEnd w:id="29"/>
    <w:bookmarkStart w:id="30" w:name="pressure-piping-standards"/>
    <w:p>
      <w:pPr>
        <w:pStyle w:val="Heading4"/>
      </w:pPr>
      <w:r>
        <w:t xml:space="preserve">3.3 Pressure Piping Standards</w:t>
      </w:r>
    </w:p>
    <w:p>
      <w:pPr>
        <w:pStyle w:val="Compact"/>
        <w:numPr>
          <w:ilvl w:val="0"/>
          <w:numId w:val="1010"/>
        </w:numPr>
      </w:pPr>
      <w:r>
        <w:t xml:space="preserve">Pressurized piping must be tested to 150% of operating pressure for minimum 1 hour</w:t>
      </w:r>
    </w:p>
    <w:p>
      <w:pPr>
        <w:pStyle w:val="Compact"/>
        <w:numPr>
          <w:ilvl w:val="0"/>
          <w:numId w:val="1010"/>
        </w:numPr>
      </w:pPr>
      <w:r>
        <w:t xml:space="preserve">Install shear valves in accordance with NFPA 30A, 514.11(B)(1): must trip within 125 lbs of lateral force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937f47e08a7e4c91c1dde6c8feb404d2b703ca7"/>
    <w:p>
      <w:pPr>
        <w:pStyle w:val="Heading3"/>
      </w:pPr>
      <w:r>
        <w:t xml:space="preserve">4. Electrical Infrastructure and Control Integration</w:t>
      </w:r>
    </w:p>
    <w:bookmarkStart w:id="32" w:name="conduit-and-seal-offs"/>
    <w:p>
      <w:pPr>
        <w:pStyle w:val="Heading4"/>
      </w:pPr>
      <w:r>
        <w:t xml:space="preserve">4.1 Conduit and Seal-offs</w:t>
      </w:r>
    </w:p>
    <w:p>
      <w:pPr>
        <w:pStyle w:val="Compact"/>
        <w:numPr>
          <w:ilvl w:val="0"/>
          <w:numId w:val="1011"/>
        </w:numPr>
      </w:pPr>
      <w:r>
        <w:t xml:space="preserve">All conduits entering classified zones must have explosion-proof seal-offs within 18”</w:t>
      </w:r>
    </w:p>
    <w:p>
      <w:pPr>
        <w:pStyle w:val="Compact"/>
        <w:numPr>
          <w:ilvl w:val="0"/>
          <w:numId w:val="1011"/>
        </w:numPr>
      </w:pPr>
      <w:r>
        <w:t xml:space="preserve">Use epoxy resin sealing compound with appropriate damming fiber to prevent migration</w:t>
      </w:r>
    </w:p>
    <w:p>
      <w:pPr>
        <w:pStyle w:val="Compact"/>
        <w:numPr>
          <w:ilvl w:val="0"/>
          <w:numId w:val="1011"/>
        </w:numPr>
      </w:pPr>
      <w:r>
        <w:t xml:space="preserve">Bond conduit to grounding electrode system with resistance &lt;1 ohm</w:t>
      </w:r>
    </w:p>
    <w:bookmarkEnd w:id="32"/>
    <w:bookmarkStart w:id="33" w:name="wiring-and-isolation"/>
    <w:p>
      <w:pPr>
        <w:pStyle w:val="Heading4"/>
      </w:pPr>
      <w:r>
        <w:t xml:space="preserve">4.2 Wiring and Isolation</w:t>
      </w:r>
    </w:p>
    <w:p>
      <w:pPr>
        <w:pStyle w:val="Compact"/>
        <w:numPr>
          <w:ilvl w:val="0"/>
          <w:numId w:val="1012"/>
        </w:numPr>
      </w:pPr>
      <w:r>
        <w:t xml:space="preserve">Use THHN/THWN-2 conductors in wet locations</w:t>
      </w:r>
    </w:p>
    <w:p>
      <w:pPr>
        <w:pStyle w:val="Compact"/>
        <w:numPr>
          <w:ilvl w:val="0"/>
          <w:numId w:val="1012"/>
        </w:numPr>
      </w:pPr>
      <w:r>
        <w:t xml:space="preserve">Maintain minimum separation of 12” between AC and low-voltage signal cables</w:t>
      </w:r>
    </w:p>
    <w:p>
      <w:pPr>
        <w:pStyle w:val="Compact"/>
        <w:numPr>
          <w:ilvl w:val="0"/>
          <w:numId w:val="1012"/>
        </w:numPr>
      </w:pPr>
      <w:r>
        <w:t xml:space="preserve">Install isolation barriers on POS to STP controller paths using opto-isolators or relays</w:t>
      </w:r>
    </w:p>
    <w:bookmarkEnd w:id="33"/>
    <w:bookmarkStart w:id="34" w:name="control-systems-commissioning"/>
    <w:p>
      <w:pPr>
        <w:pStyle w:val="Heading4"/>
      </w:pPr>
      <w:r>
        <w:t xml:space="preserve">4.3 Control Systems Commissioning</w:t>
      </w:r>
    </w:p>
    <w:p>
      <w:pPr>
        <w:pStyle w:val="Compact"/>
        <w:numPr>
          <w:ilvl w:val="0"/>
          <w:numId w:val="1013"/>
        </w:numPr>
      </w:pPr>
      <w:r>
        <w:t xml:space="preserve">Install Veeder-Root, Incon, or OPW tank monitor console in climate-controlled building</w:t>
      </w:r>
    </w:p>
    <w:p>
      <w:pPr>
        <w:pStyle w:val="Compact"/>
        <w:numPr>
          <w:ilvl w:val="0"/>
          <w:numId w:val="1013"/>
        </w:numPr>
      </w:pPr>
      <w:r>
        <w:t xml:space="preserve">Validate probe readings using certified meter stick and water-finding paste</w:t>
      </w:r>
    </w:p>
    <w:p>
      <w:pPr>
        <w:pStyle w:val="Compact"/>
        <w:numPr>
          <w:ilvl w:val="0"/>
          <w:numId w:val="1013"/>
        </w:numPr>
      </w:pPr>
      <w:r>
        <w:t xml:space="preserve">Program tank chart and perform span calibration of sensors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a679bac9903ef49b4d4975836d4ee9fb4e5f341"/>
    <w:p>
      <w:pPr>
        <w:pStyle w:val="Heading3"/>
      </w:pPr>
      <w:r>
        <w:t xml:space="preserve">5. Backfill, Surface Restoration, and Site Commissioning</w:t>
      </w:r>
    </w:p>
    <w:bookmarkStart w:id="36" w:name="layered-backfill-protocol"/>
    <w:p>
      <w:pPr>
        <w:pStyle w:val="Heading4"/>
      </w:pPr>
      <w:r>
        <w:t xml:space="preserve">5.1 Layered Backfill Protocol</w:t>
      </w:r>
    </w:p>
    <w:p>
      <w:pPr>
        <w:pStyle w:val="Compact"/>
        <w:numPr>
          <w:ilvl w:val="0"/>
          <w:numId w:val="1014"/>
        </w:numPr>
      </w:pPr>
      <w:r>
        <w:t xml:space="preserve">Place backfill in 12” lifts, compacted to 95% Proctor Density</w:t>
      </w:r>
    </w:p>
    <w:p>
      <w:pPr>
        <w:pStyle w:val="Compact"/>
        <w:numPr>
          <w:ilvl w:val="0"/>
          <w:numId w:val="1014"/>
        </w:numPr>
      </w:pPr>
      <w:r>
        <w:t xml:space="preserve">Use clean pea gravel or sand (&lt;5% fines) in direct contact with tank surface</w:t>
      </w:r>
    </w:p>
    <w:p>
      <w:pPr>
        <w:pStyle w:val="Compact"/>
        <w:numPr>
          <w:ilvl w:val="0"/>
          <w:numId w:val="1014"/>
        </w:numPr>
      </w:pPr>
      <w:r>
        <w:t xml:space="preserve">Document compaction results and submit density logs per lift for inspector signoff</w:t>
      </w:r>
    </w:p>
    <w:bookmarkEnd w:id="36"/>
    <w:bookmarkStart w:id="37" w:name="concrete-pad-and-island-construction"/>
    <w:p>
      <w:pPr>
        <w:pStyle w:val="Heading4"/>
      </w:pPr>
      <w:r>
        <w:t xml:space="preserve">5.2 Concrete Pad and Island Construction</w:t>
      </w:r>
    </w:p>
    <w:p>
      <w:pPr>
        <w:pStyle w:val="Compact"/>
        <w:numPr>
          <w:ilvl w:val="0"/>
          <w:numId w:val="1015"/>
        </w:numPr>
      </w:pPr>
      <w:r>
        <w:t xml:space="preserve">Minimum 6” thick pad with 4000 psi concrete; 12” for high-traffic areas</w:t>
      </w:r>
    </w:p>
    <w:p>
      <w:pPr>
        <w:pStyle w:val="Compact"/>
        <w:numPr>
          <w:ilvl w:val="0"/>
          <w:numId w:val="1015"/>
        </w:numPr>
      </w:pPr>
      <w:r>
        <w:t xml:space="preserve">Include vapor barrier and rebar mat tied per ASTM A615 Grade 60</w:t>
      </w:r>
    </w:p>
    <w:p>
      <w:pPr>
        <w:pStyle w:val="Compact"/>
        <w:numPr>
          <w:ilvl w:val="0"/>
          <w:numId w:val="1015"/>
        </w:numPr>
      </w:pPr>
      <w:r>
        <w:t xml:space="preserve">Install expansion joints every 10’ and control joints every 5’ in slab</w:t>
      </w:r>
    </w:p>
    <w:bookmarkEnd w:id="37"/>
    <w:bookmarkStart w:id="38" w:name="system-commissioning-and-certification"/>
    <w:p>
      <w:pPr>
        <w:pStyle w:val="Heading4"/>
      </w:pPr>
      <w:r>
        <w:t xml:space="preserve">5.3 System Commissioning and Certification</w:t>
      </w:r>
    </w:p>
    <w:p>
      <w:pPr>
        <w:pStyle w:val="Compact"/>
        <w:numPr>
          <w:ilvl w:val="0"/>
          <w:numId w:val="1016"/>
        </w:numPr>
      </w:pPr>
      <w:r>
        <w:t xml:space="preserve">Hydrostatic test spill buckets and sumps (1 hr no-drop test)</w:t>
      </w:r>
    </w:p>
    <w:p>
      <w:pPr>
        <w:pStyle w:val="Compact"/>
        <w:numPr>
          <w:ilvl w:val="0"/>
          <w:numId w:val="1016"/>
        </w:numPr>
      </w:pPr>
      <w:r>
        <w:t xml:space="preserve">Conduct precision tank test using ATG (0.1 GPH)</w:t>
      </w:r>
    </w:p>
    <w:p>
      <w:pPr>
        <w:pStyle w:val="Compact"/>
        <w:numPr>
          <w:ilvl w:val="0"/>
          <w:numId w:val="1016"/>
        </w:numPr>
      </w:pPr>
      <w:r>
        <w:t xml:space="preserve">Perform line tightness test (0.1 GPH @ 150% pressure for 1 hr)</w:t>
      </w:r>
    </w:p>
    <w:p>
      <w:pPr>
        <w:pStyle w:val="Compact"/>
        <w:numPr>
          <w:ilvl w:val="0"/>
          <w:numId w:val="1016"/>
        </w:numPr>
      </w:pPr>
      <w:r>
        <w:t xml:space="preserve">Submit as-built drawings, equipment serial logs, pressure test certificates, and inspection checklists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Conclusion</w:t>
      </w:r>
      <w:r>
        <w:t xml:space="preserve">: Volume 3 presents a construction-phase protocol with engineering-level precision and regulatory compliance embedded at each critical point. From subgrade preparation to final system commissioning, this document equips construction managers and field engineers with a blueprint for durable, compliant, and verifiable UST installations in high-demand commercial fuel environments.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2025-08-25T01:49:40Z</dcterms:created>
  <dcterms:modified xsi:type="dcterms:W3CDTF">2025-08-25T01:49:40Z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