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Comprehensive Field Engineering Monograph</w:t>
      </w:r>
    </w:p>
    <w:p>
      <w:pPr>
        <w:pStyle w:val="BodyText"/>
      </w:pPr>
      <w:r>
        <w:t xml:space="preserve">Volume 5: Petroleum Field Services – Diagnostic Detail and Operational Expertise</w:t>
      </w:r>
    </w:p>
    <w:p>
      <w:pPr>
        <w:pStyle w:val="BodyText"/>
      </w:pPr>
      <w:r>
        <w:t xml:space="preserve">Prepared by: GPT-4o Expert Research Division</w:t>
      </w:r>
      <w:r>
        <w:br/>
      </w:r>
      <w:r>
        <w:t xml:space="preserve">Industry Scope: Routine Service Operations, Component Replacement, and Regulatory Maintenance</w:t>
      </w:r>
    </w:p>
    <w:p>
      <w:r>
        <w:pict>
          <v:rect style="width:0;height:1.5pt" o:hralign="center" o:hrstd="t" o:hr="t"/>
        </w:pict>
      </w:r>
    </w:p>
    <w:bookmarkStart w:id="23" w:name="Xacecaa1d85b867048f8d733ae01c9585d589240"/>
    <w:p>
      <w:pPr>
        <w:pStyle w:val="Heading3"/>
      </w:pPr>
      <w:r>
        <w:t xml:space="preserve">1. Sump Sensor Replacement Protocol and Diagnostics</w:t>
      </w:r>
    </w:p>
    <w:bookmarkStart w:id="20" w:name="purpose-and-compliance-function"/>
    <w:p>
      <w:pPr>
        <w:pStyle w:val="Heading4"/>
      </w:pPr>
      <w:r>
        <w:t xml:space="preserve">1.1 Purpose and Compliance Function</w:t>
      </w:r>
    </w:p>
    <w:p>
      <w:pPr>
        <w:pStyle w:val="Compact"/>
        <w:numPr>
          <w:ilvl w:val="0"/>
          <w:numId w:val="1001"/>
        </w:numPr>
      </w:pPr>
      <w:r>
        <w:t xml:space="preserve">Detects presence of liquid in containment sump – water or product.</w:t>
      </w:r>
    </w:p>
    <w:p>
      <w:pPr>
        <w:pStyle w:val="Compact"/>
        <w:numPr>
          <w:ilvl w:val="0"/>
          <w:numId w:val="1001"/>
        </w:numPr>
      </w:pPr>
      <w:r>
        <w:t xml:space="preserve">Required by EPA 40 CFR §280.43(g) for leak detection in double-walled systems.</w:t>
      </w:r>
    </w:p>
    <w:p>
      <w:pPr>
        <w:pStyle w:val="Compact"/>
        <w:numPr>
          <w:ilvl w:val="0"/>
          <w:numId w:val="1001"/>
        </w:numPr>
      </w:pPr>
      <w:r>
        <w:t xml:space="preserve">Common brands: Veeder-Root, Franklin Fueling, Incon, Omntec.</w:t>
      </w:r>
    </w:p>
    <w:bookmarkEnd w:id="20"/>
    <w:bookmarkStart w:id="21" w:name="removal-and-replacement-procedure"/>
    <w:p>
      <w:pPr>
        <w:pStyle w:val="Heading4"/>
      </w:pPr>
      <w:r>
        <w:t xml:space="preserve">1.2 Removal and Replacement Procedure</w:t>
      </w:r>
    </w:p>
    <w:p>
      <w:pPr>
        <w:pStyle w:val="Compact"/>
        <w:numPr>
          <w:ilvl w:val="0"/>
          <w:numId w:val="1002"/>
        </w:numPr>
      </w:pPr>
      <w:r>
        <w:t xml:space="preserve">De-energize sensor circuit at ATG console.</w:t>
      </w:r>
    </w:p>
    <w:p>
      <w:pPr>
        <w:pStyle w:val="Compact"/>
        <w:numPr>
          <w:ilvl w:val="0"/>
          <w:numId w:val="1002"/>
        </w:numPr>
      </w:pPr>
      <w:r>
        <w:t xml:space="preserve">Use chemical-resistant gloves and isolate any flammable liquid.</w:t>
      </w:r>
    </w:p>
    <w:p>
      <w:pPr>
        <w:pStyle w:val="Compact"/>
        <w:numPr>
          <w:ilvl w:val="0"/>
          <w:numId w:val="1002"/>
        </w:numPr>
      </w:pPr>
      <w:r>
        <w:t xml:space="preserve">Unscrew or unclip sensor from mounting bracket; inspect for corrosion or float damage.</w:t>
      </w:r>
    </w:p>
    <w:p>
      <w:pPr>
        <w:pStyle w:val="Compact"/>
        <w:numPr>
          <w:ilvl w:val="0"/>
          <w:numId w:val="1002"/>
        </w:numPr>
      </w:pPr>
      <w:r>
        <w:t xml:space="preserve">Install new sensor with proper orientation (Veeder: arrows point down; Franklin: upright float).</w:t>
      </w:r>
    </w:p>
    <w:p>
      <w:pPr>
        <w:pStyle w:val="Compact"/>
        <w:numPr>
          <w:ilvl w:val="0"/>
          <w:numId w:val="1002"/>
        </w:numPr>
      </w:pPr>
      <w:r>
        <w:t xml:space="preserve">Test function by submerging in water and verifying alarm at console.</w:t>
      </w:r>
    </w:p>
    <w:bookmarkEnd w:id="21"/>
    <w:bookmarkStart w:id="22" w:name="sensor-programming-and-verification"/>
    <w:p>
      <w:pPr>
        <w:pStyle w:val="Heading4"/>
      </w:pPr>
      <w:r>
        <w:t xml:space="preserve">1.3 Sensor Programming and Verification</w:t>
      </w:r>
    </w:p>
    <w:p>
      <w:pPr>
        <w:pStyle w:val="Compact"/>
        <w:numPr>
          <w:ilvl w:val="0"/>
          <w:numId w:val="1003"/>
        </w:numPr>
      </w:pPr>
      <w:r>
        <w:t xml:space="preserve">Use ATG console (e.g., TLS-450) to assign sensor zone.</w:t>
      </w:r>
    </w:p>
    <w:p>
      <w:pPr>
        <w:pStyle w:val="Compact"/>
        <w:numPr>
          <w:ilvl w:val="0"/>
          <w:numId w:val="1003"/>
        </w:numPr>
      </w:pPr>
      <w:r>
        <w:t xml:space="preserve">Log alarm response time; must register within 10 seconds of fluid contact.</w:t>
      </w:r>
    </w:p>
    <w:p>
      <w:pPr>
        <w:pStyle w:val="Compact"/>
        <w:numPr>
          <w:ilvl w:val="0"/>
          <w:numId w:val="1003"/>
        </w:numPr>
      </w:pPr>
      <w:r>
        <w:t xml:space="preserve">Record sensor serial and installation in compliance log.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monthly-compliance-inspection"/>
    <w:p>
      <w:pPr>
        <w:pStyle w:val="Heading3"/>
      </w:pPr>
      <w:r>
        <w:t xml:space="preserve">2. Monthly Compliance Inspection</w:t>
      </w:r>
    </w:p>
    <w:bookmarkStart w:id="24" w:name="required-visual-checks"/>
    <w:p>
      <w:pPr>
        <w:pStyle w:val="Heading4"/>
      </w:pPr>
      <w:r>
        <w:t xml:space="preserve">2.1 Required Visual Checks</w:t>
      </w:r>
    </w:p>
    <w:p>
      <w:pPr>
        <w:pStyle w:val="Compact"/>
        <w:numPr>
          <w:ilvl w:val="0"/>
          <w:numId w:val="1004"/>
        </w:numPr>
      </w:pPr>
      <w:r>
        <w:t xml:space="preserve">Check for cracks or staining in spill buckets.</w:t>
      </w:r>
    </w:p>
    <w:p>
      <w:pPr>
        <w:pStyle w:val="Compact"/>
        <w:numPr>
          <w:ilvl w:val="0"/>
          <w:numId w:val="1004"/>
        </w:numPr>
      </w:pPr>
      <w:r>
        <w:t xml:space="preserve">Confirm tight fill caps, vapor caps, and shear valve integrity.</w:t>
      </w:r>
    </w:p>
    <w:p>
      <w:pPr>
        <w:pStyle w:val="Compact"/>
        <w:numPr>
          <w:ilvl w:val="0"/>
          <w:numId w:val="1004"/>
        </w:numPr>
      </w:pPr>
      <w:r>
        <w:t xml:space="preserve">Verify nozzle spouts, breakaways, and boot integrity.</w:t>
      </w:r>
    </w:p>
    <w:p>
      <w:pPr>
        <w:pStyle w:val="Compact"/>
        <w:numPr>
          <w:ilvl w:val="0"/>
          <w:numId w:val="1004"/>
        </w:numPr>
      </w:pPr>
      <w:r>
        <w:t xml:space="preserve">Ensure all warning labels are visible and not degraded.</w:t>
      </w:r>
    </w:p>
    <w:bookmarkEnd w:id="24"/>
    <w:bookmarkStart w:id="25" w:name="documentation"/>
    <w:p>
      <w:pPr>
        <w:pStyle w:val="Heading4"/>
      </w:pPr>
      <w:r>
        <w:t xml:space="preserve">2.2 Documentation</w:t>
      </w:r>
    </w:p>
    <w:p>
      <w:pPr>
        <w:pStyle w:val="Compact"/>
        <w:numPr>
          <w:ilvl w:val="0"/>
          <w:numId w:val="1005"/>
        </w:numPr>
      </w:pPr>
      <w:r>
        <w:t xml:space="preserve">Use PEI RP900 checklist; must include technician initials, site ID, and date.</w:t>
      </w:r>
    </w:p>
    <w:p>
      <w:pPr>
        <w:pStyle w:val="Compact"/>
        <w:numPr>
          <w:ilvl w:val="0"/>
          <w:numId w:val="1005"/>
        </w:numPr>
      </w:pPr>
      <w:r>
        <w:t xml:space="preserve">Capture and archive photo evidence (e.g., sensors dry, buckets clean).</w:t>
      </w:r>
    </w:p>
    <w:p>
      <w:pPr>
        <w:pStyle w:val="Compact"/>
        <w:numPr>
          <w:ilvl w:val="0"/>
          <w:numId w:val="1005"/>
        </w:numPr>
      </w:pPr>
      <w:r>
        <w:t xml:space="preserve">Digital records should be backed up monthly and retained for 36 months.</w:t>
      </w:r>
    </w:p>
    <w:bookmarkEnd w:id="25"/>
    <w:bookmarkStart w:id="26" w:name="failure-triggers"/>
    <w:p>
      <w:pPr>
        <w:pStyle w:val="Heading4"/>
      </w:pPr>
      <w:r>
        <w:t xml:space="preserve">2.3 Failure Triggers</w:t>
      </w:r>
    </w:p>
    <w:p>
      <w:pPr>
        <w:pStyle w:val="Compact"/>
        <w:numPr>
          <w:ilvl w:val="0"/>
          <w:numId w:val="1006"/>
        </w:numPr>
      </w:pPr>
      <w:r>
        <w:t xml:space="preserve">Alarm or fluid presence in sumps.</w:t>
      </w:r>
    </w:p>
    <w:p>
      <w:pPr>
        <w:pStyle w:val="Compact"/>
        <w:numPr>
          <w:ilvl w:val="0"/>
          <w:numId w:val="1006"/>
        </w:numPr>
      </w:pPr>
      <w:r>
        <w:t xml:space="preserve">Cracked or compromised spill containment.</w:t>
      </w:r>
    </w:p>
    <w:p>
      <w:pPr>
        <w:pStyle w:val="Compact"/>
        <w:numPr>
          <w:ilvl w:val="0"/>
          <w:numId w:val="1006"/>
        </w:numPr>
      </w:pPr>
      <w:r>
        <w:t xml:space="preserve">Damaged sensors or disconnected harnesses.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annual-line-leak-testing"/>
    <w:p>
      <w:pPr>
        <w:pStyle w:val="Heading3"/>
      </w:pPr>
      <w:r>
        <w:t xml:space="preserve">3. Annual Line Leak Testing</w:t>
      </w:r>
    </w:p>
    <w:bookmarkStart w:id="28" w:name="test-methodology"/>
    <w:p>
      <w:pPr>
        <w:pStyle w:val="Heading4"/>
      </w:pPr>
      <w:r>
        <w:t xml:space="preserve">3.1 Test Methodology</w:t>
      </w:r>
    </w:p>
    <w:p>
      <w:pPr>
        <w:pStyle w:val="Compact"/>
        <w:numPr>
          <w:ilvl w:val="0"/>
          <w:numId w:val="1007"/>
        </w:numPr>
      </w:pPr>
      <w:r>
        <w:t xml:space="preserve">Must detect leak rate of 0.1 GPH at 150% of operating pressure.</w:t>
      </w:r>
    </w:p>
    <w:p>
      <w:pPr>
        <w:pStyle w:val="Compact"/>
        <w:numPr>
          <w:ilvl w:val="0"/>
          <w:numId w:val="1007"/>
        </w:numPr>
      </w:pPr>
      <w:r>
        <w:t xml:space="preserve">Test duration: Minimum of 1 hour for pressurized systems.</w:t>
      </w:r>
    </w:p>
    <w:p>
      <w:pPr>
        <w:pStyle w:val="Compact"/>
        <w:numPr>
          <w:ilvl w:val="0"/>
          <w:numId w:val="1007"/>
        </w:numPr>
      </w:pPr>
      <w:r>
        <w:t xml:space="preserve">Use certified 3rd-party test equipment (e.g., Leighton, LeakLogic, Tanknology).</w:t>
      </w:r>
    </w:p>
    <w:bookmarkEnd w:id="28"/>
    <w:bookmarkStart w:id="29" w:name="procedure"/>
    <w:p>
      <w:pPr>
        <w:pStyle w:val="Heading4"/>
      </w:pPr>
      <w:r>
        <w:t xml:space="preserve">3.2 Procedure</w:t>
      </w:r>
    </w:p>
    <w:p>
      <w:pPr>
        <w:pStyle w:val="Compact"/>
        <w:numPr>
          <w:ilvl w:val="0"/>
          <w:numId w:val="1008"/>
        </w:numPr>
      </w:pPr>
      <w:r>
        <w:t xml:space="preserve">Isolate line and connect test manifold.</w:t>
      </w:r>
    </w:p>
    <w:p>
      <w:pPr>
        <w:pStyle w:val="Compact"/>
        <w:numPr>
          <w:ilvl w:val="0"/>
          <w:numId w:val="1008"/>
        </w:numPr>
      </w:pPr>
      <w:r>
        <w:t xml:space="preserve">Pressurize using inert nitrogen gas.</w:t>
      </w:r>
    </w:p>
    <w:p>
      <w:pPr>
        <w:pStyle w:val="Compact"/>
        <w:numPr>
          <w:ilvl w:val="0"/>
          <w:numId w:val="1008"/>
        </w:numPr>
      </w:pPr>
      <w:r>
        <w:t xml:space="preserve">Monitor pressure drop with digital gauge calibrated within last 12 months.</w:t>
      </w:r>
    </w:p>
    <w:p>
      <w:pPr>
        <w:pStyle w:val="Compact"/>
        <w:numPr>
          <w:ilvl w:val="0"/>
          <w:numId w:val="1008"/>
        </w:numPr>
      </w:pPr>
      <w:r>
        <w:t xml:space="preserve">Acceptable pressure decay: ≤3 psi over 1 hour.</w:t>
      </w:r>
    </w:p>
    <w:bookmarkEnd w:id="29"/>
    <w:bookmarkStart w:id="30" w:name="documentation-and-compliance"/>
    <w:p>
      <w:pPr>
        <w:pStyle w:val="Heading4"/>
      </w:pPr>
      <w:r>
        <w:t xml:space="preserve">3.3 Documentation and Compliance</w:t>
      </w:r>
    </w:p>
    <w:p>
      <w:pPr>
        <w:pStyle w:val="Compact"/>
        <w:numPr>
          <w:ilvl w:val="0"/>
          <w:numId w:val="1009"/>
        </w:numPr>
      </w:pPr>
      <w:r>
        <w:t xml:space="preserve">Document test pressure, start and end time, technician license number.</w:t>
      </w:r>
    </w:p>
    <w:p>
      <w:pPr>
        <w:pStyle w:val="Compact"/>
        <w:numPr>
          <w:ilvl w:val="0"/>
          <w:numId w:val="1009"/>
        </w:numPr>
      </w:pPr>
      <w:r>
        <w:t xml:space="preserve">Submit report to site operator and AHJ if required.</w:t>
      </w:r>
    </w:p>
    <w:p>
      <w:pPr>
        <w:pStyle w:val="Compact"/>
        <w:numPr>
          <w:ilvl w:val="0"/>
          <w:numId w:val="1009"/>
        </w:numPr>
      </w:pPr>
      <w:r>
        <w:t xml:space="preserve">Store report alongside ATG history for audit trail.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pos-system-upgrade"/>
    <w:p>
      <w:pPr>
        <w:pStyle w:val="Heading3"/>
      </w:pPr>
      <w:r>
        <w:t xml:space="preserve">4. POS System Upgrade</w:t>
      </w:r>
    </w:p>
    <w:bookmarkStart w:id="32" w:name="components-typically-upgraded"/>
    <w:p>
      <w:pPr>
        <w:pStyle w:val="Heading4"/>
      </w:pPr>
      <w:r>
        <w:t xml:space="preserve">4.1 Components Typically Upgraded</w:t>
      </w:r>
    </w:p>
    <w:p>
      <w:pPr>
        <w:pStyle w:val="Compact"/>
        <w:numPr>
          <w:ilvl w:val="0"/>
          <w:numId w:val="1010"/>
        </w:numPr>
      </w:pPr>
      <w:r>
        <w:t xml:space="preserve">Site controller (e.g., upgrade from Ruby Commander to Verifone Edge).</w:t>
      </w:r>
    </w:p>
    <w:p>
      <w:pPr>
        <w:pStyle w:val="Compact"/>
        <w:numPr>
          <w:ilvl w:val="0"/>
          <w:numId w:val="1010"/>
        </w:numPr>
      </w:pPr>
      <w:r>
        <w:t xml:space="preserve">Dispenser CRINDs (EMV, NFC-ready).</w:t>
      </w:r>
    </w:p>
    <w:p>
      <w:pPr>
        <w:pStyle w:val="Compact"/>
        <w:numPr>
          <w:ilvl w:val="0"/>
          <w:numId w:val="1010"/>
        </w:numPr>
      </w:pPr>
      <w:r>
        <w:t xml:space="preserve">Ethernet loop replacement with TCP/IP router.</w:t>
      </w:r>
    </w:p>
    <w:bookmarkEnd w:id="32"/>
    <w:bookmarkStart w:id="33" w:name="upgrade-procedure"/>
    <w:p>
      <w:pPr>
        <w:pStyle w:val="Heading4"/>
      </w:pPr>
      <w:r>
        <w:t xml:space="preserve">4.2 Upgrade Procedure</w:t>
      </w:r>
    </w:p>
    <w:p>
      <w:pPr>
        <w:pStyle w:val="Compact"/>
        <w:numPr>
          <w:ilvl w:val="0"/>
          <w:numId w:val="1011"/>
        </w:numPr>
      </w:pPr>
      <w:r>
        <w:t xml:space="preserve">Backup price book and configuration settings.</w:t>
      </w:r>
    </w:p>
    <w:p>
      <w:pPr>
        <w:pStyle w:val="Compact"/>
        <w:numPr>
          <w:ilvl w:val="0"/>
          <w:numId w:val="1011"/>
        </w:numPr>
      </w:pPr>
      <w:r>
        <w:t xml:space="preserve">Replace hardware one node at a time to avoid system-wide outages.</w:t>
      </w:r>
    </w:p>
    <w:p>
      <w:pPr>
        <w:pStyle w:val="Compact"/>
        <w:numPr>
          <w:ilvl w:val="0"/>
          <w:numId w:val="1011"/>
        </w:numPr>
      </w:pPr>
      <w:r>
        <w:t xml:space="preserve">Test network integrity with loopback and ping utilities.</w:t>
      </w:r>
    </w:p>
    <w:p>
      <w:pPr>
        <w:pStyle w:val="Compact"/>
        <w:numPr>
          <w:ilvl w:val="0"/>
          <w:numId w:val="1011"/>
        </w:numPr>
      </w:pPr>
      <w:r>
        <w:t xml:space="preserve">Reconfigure dispenser addresses and map to POS.</w:t>
      </w:r>
    </w:p>
    <w:bookmarkEnd w:id="33"/>
    <w:bookmarkStart w:id="34" w:name="security-and-compliance"/>
    <w:p>
      <w:pPr>
        <w:pStyle w:val="Heading4"/>
      </w:pPr>
      <w:r>
        <w:t xml:space="preserve">4.3 Security and Compliance</w:t>
      </w:r>
    </w:p>
    <w:p>
      <w:pPr>
        <w:pStyle w:val="Compact"/>
        <w:numPr>
          <w:ilvl w:val="0"/>
          <w:numId w:val="1012"/>
        </w:numPr>
      </w:pPr>
      <w:r>
        <w:t xml:space="preserve">Must comply with PCI DSS 4.0.</w:t>
      </w:r>
    </w:p>
    <w:p>
      <w:pPr>
        <w:pStyle w:val="Compact"/>
        <w:numPr>
          <w:ilvl w:val="0"/>
          <w:numId w:val="1012"/>
        </w:numPr>
      </w:pPr>
      <w:r>
        <w:t xml:space="preserve">Install secure firmware (EMV L2 certified kernel).</w:t>
      </w:r>
    </w:p>
    <w:p>
      <w:pPr>
        <w:pStyle w:val="Compact"/>
        <w:numPr>
          <w:ilvl w:val="0"/>
          <w:numId w:val="1012"/>
        </w:numPr>
      </w:pPr>
      <w:r>
        <w:t xml:space="preserve">Verify anti-virus, TLS 1.2 encryption, and user authentication modules.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shear-valve-trip-test"/>
    <w:p>
      <w:pPr>
        <w:pStyle w:val="Heading3"/>
      </w:pPr>
      <w:r>
        <w:t xml:space="preserve">5. Shear Valve Trip Test</w:t>
      </w:r>
    </w:p>
    <w:bookmarkStart w:id="36" w:name="purpose-and-mandate"/>
    <w:p>
      <w:pPr>
        <w:pStyle w:val="Heading4"/>
      </w:pPr>
      <w:r>
        <w:t xml:space="preserve">5.1 Purpose and Mandate</w:t>
      </w:r>
    </w:p>
    <w:p>
      <w:pPr>
        <w:pStyle w:val="Compact"/>
        <w:numPr>
          <w:ilvl w:val="0"/>
          <w:numId w:val="1013"/>
        </w:numPr>
      </w:pPr>
      <w:r>
        <w:t xml:space="preserve">Verifies that shear (impact) valve closes upon dispenser impact.</w:t>
      </w:r>
    </w:p>
    <w:p>
      <w:pPr>
        <w:pStyle w:val="Compact"/>
        <w:numPr>
          <w:ilvl w:val="0"/>
          <w:numId w:val="1013"/>
        </w:numPr>
      </w:pPr>
      <w:r>
        <w:t xml:space="preserve">Required per NFPA 30A §6.6.4.</w:t>
      </w:r>
    </w:p>
    <w:bookmarkEnd w:id="36"/>
    <w:bookmarkStart w:id="37" w:name="test-procedure"/>
    <w:p>
      <w:pPr>
        <w:pStyle w:val="Heading4"/>
      </w:pPr>
      <w:r>
        <w:t xml:space="preserve">5.2 Test Procedure</w:t>
      </w:r>
    </w:p>
    <w:p>
      <w:pPr>
        <w:pStyle w:val="Compact"/>
        <w:numPr>
          <w:ilvl w:val="0"/>
          <w:numId w:val="1014"/>
        </w:numPr>
      </w:pPr>
      <w:r>
        <w:t xml:space="preserve">Simulate impact using rated lateral force (typically 125–150 lbf).</w:t>
      </w:r>
    </w:p>
    <w:p>
      <w:pPr>
        <w:pStyle w:val="Compact"/>
        <w:numPr>
          <w:ilvl w:val="0"/>
          <w:numId w:val="1014"/>
        </w:numPr>
      </w:pPr>
      <w:r>
        <w:t xml:space="preserve">Verify poppet closure visually or with pressure drop test.</w:t>
      </w:r>
    </w:p>
    <w:p>
      <w:pPr>
        <w:pStyle w:val="Compact"/>
        <w:numPr>
          <w:ilvl w:val="0"/>
          <w:numId w:val="1014"/>
        </w:numPr>
      </w:pPr>
      <w:r>
        <w:t xml:space="preserve">Inspect for fuel seepage or delayed closure.</w:t>
      </w:r>
    </w:p>
    <w:bookmarkEnd w:id="37"/>
    <w:bookmarkStart w:id="38" w:name="post-test-validation"/>
    <w:p>
      <w:pPr>
        <w:pStyle w:val="Heading4"/>
      </w:pPr>
      <w:r>
        <w:t xml:space="preserve">5.3 Post-Test Validation</w:t>
      </w:r>
    </w:p>
    <w:p>
      <w:pPr>
        <w:pStyle w:val="Compact"/>
        <w:numPr>
          <w:ilvl w:val="0"/>
          <w:numId w:val="1015"/>
        </w:numPr>
      </w:pPr>
      <w:r>
        <w:t xml:space="preserve">Reseat valve and torque retaining bolts.</w:t>
      </w:r>
    </w:p>
    <w:p>
      <w:pPr>
        <w:pStyle w:val="Compact"/>
        <w:numPr>
          <w:ilvl w:val="0"/>
          <w:numId w:val="1015"/>
        </w:numPr>
      </w:pPr>
      <w:r>
        <w:t xml:space="preserve">Check for stem deflection, seal wear.</w:t>
      </w:r>
    </w:p>
    <w:p>
      <w:pPr>
        <w:pStyle w:val="Compact"/>
        <w:numPr>
          <w:ilvl w:val="0"/>
          <w:numId w:val="1015"/>
        </w:numPr>
      </w:pPr>
      <w:r>
        <w:t xml:space="preserve">Log test result, method, and tech signature.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Conclusion</w:t>
      </w:r>
      <w:r>
        <w:t xml:space="preserve">: These five services represent the backbone of operational reliability and regulatory compliance. This document provides the field-level procedures, diagnostics, and reporting practices for optimized execution and system integrity verification. Volume 6 will build on this with advanced system repair protocols and enhanced sensor calibration workflows.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2025-08-25T02:02:33Z</dcterms:created>
  <dcterms:modified xsi:type="dcterms:W3CDTF">2025-08-25T02:02:33Z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