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Comprehensive Field Engineering Monograph</w:t>
      </w:r>
    </w:p>
    <w:p>
      <w:pPr>
        <w:pStyle w:val="BodyText"/>
      </w:pPr>
      <w:r>
        <w:t xml:space="preserve">Volume 6: Advanced Maintenance &amp; Calibration – Dispensers, Sensors, Overfill Prevention, and Chart Verification</w:t>
      </w:r>
    </w:p>
    <w:p>
      <w:pPr>
        <w:pStyle w:val="BodyText"/>
      </w:pPr>
      <w:r>
        <w:t xml:space="preserve">Prepared by: GPT-4o Expert Research Division</w:t>
      </w:r>
      <w:r>
        <w:br/>
      </w:r>
      <w:r>
        <w:t xml:space="preserve">Industry Scope: Equipment Calibration, Component Integrity, and UST Data Accuracy</w:t>
      </w:r>
    </w:p>
    <w:p>
      <w:r>
        <w:pict>
          <v:rect style="width:0;height:1.5pt" o:hralign="center" o:hrstd="t" o:hr="t"/>
        </w:pict>
      </w:r>
    </w:p>
    <w:bookmarkStart w:id="23" w:name="Xbdf44103f9cd6be856c49f859809853c6253b77"/>
    <w:p>
      <w:pPr>
        <w:pStyle w:val="Heading3"/>
      </w:pPr>
      <w:r>
        <w:t xml:space="preserve">1. Dispenser Flow Calibration and Meter Accuracy Verification</w:t>
      </w:r>
    </w:p>
    <w:bookmarkStart w:id="20" w:name="regulatory-calibration-standard"/>
    <w:p>
      <w:pPr>
        <w:pStyle w:val="Heading4"/>
      </w:pPr>
      <w:r>
        <w:t xml:space="preserve">1.1 Regulatory Calibration Standard</w:t>
      </w:r>
    </w:p>
    <w:p>
      <w:pPr>
        <w:pStyle w:val="Compact"/>
        <w:numPr>
          <w:ilvl w:val="0"/>
          <w:numId w:val="1001"/>
        </w:numPr>
      </w:pPr>
      <w:r>
        <w:t xml:space="preserve">Calibrate flow meters to ±6 cubic inches per 5-gallon draw (weights and measures standard).</w:t>
      </w:r>
    </w:p>
    <w:p>
      <w:pPr>
        <w:pStyle w:val="Compact"/>
        <w:numPr>
          <w:ilvl w:val="0"/>
          <w:numId w:val="1001"/>
        </w:numPr>
      </w:pPr>
      <w:r>
        <w:t xml:space="preserve">Ensure calibration seals remain intact or document resealing.</w:t>
      </w:r>
    </w:p>
    <w:bookmarkEnd w:id="20"/>
    <w:bookmarkStart w:id="21" w:name="equipment-and-procedure"/>
    <w:p>
      <w:pPr>
        <w:pStyle w:val="Heading4"/>
      </w:pPr>
      <w:r>
        <w:t xml:space="preserve">1.2 Equipment and Procedure</w:t>
      </w:r>
    </w:p>
    <w:p>
      <w:pPr>
        <w:pStyle w:val="Compact"/>
        <w:numPr>
          <w:ilvl w:val="0"/>
          <w:numId w:val="1002"/>
        </w:numPr>
      </w:pPr>
      <w:r>
        <w:t xml:space="preserve">Use a certified 5-gallon prover can with volumetric certificate.</w:t>
      </w:r>
    </w:p>
    <w:p>
      <w:pPr>
        <w:pStyle w:val="Compact"/>
        <w:numPr>
          <w:ilvl w:val="0"/>
          <w:numId w:val="1002"/>
        </w:numPr>
      </w:pPr>
      <w:r>
        <w:t xml:space="preserve">Perform three consecutive test draws per product grade.</w:t>
      </w:r>
    </w:p>
    <w:p>
      <w:pPr>
        <w:pStyle w:val="Compact"/>
        <w:numPr>
          <w:ilvl w:val="0"/>
          <w:numId w:val="1002"/>
        </w:numPr>
      </w:pPr>
      <w:r>
        <w:t xml:space="preserve">Adjust meter calibration screw behind service door using appropriate tool (often Allen or torque driver).</w:t>
      </w:r>
    </w:p>
    <w:p>
      <w:pPr>
        <w:pStyle w:val="Compact"/>
        <w:numPr>
          <w:ilvl w:val="0"/>
          <w:numId w:val="1002"/>
        </w:numPr>
      </w:pPr>
      <w:r>
        <w:t xml:space="preserve">Post-adjustment, retest all grades and log volume discrepancies.</w:t>
      </w:r>
    </w:p>
    <w:bookmarkEnd w:id="21"/>
    <w:bookmarkStart w:id="22" w:name="documentation"/>
    <w:p>
      <w:pPr>
        <w:pStyle w:val="Heading4"/>
      </w:pPr>
      <w:r>
        <w:t xml:space="preserve">1.3 Documentation</w:t>
      </w:r>
    </w:p>
    <w:p>
      <w:pPr>
        <w:pStyle w:val="Compact"/>
        <w:numPr>
          <w:ilvl w:val="0"/>
          <w:numId w:val="1003"/>
        </w:numPr>
      </w:pPr>
      <w:r>
        <w:t xml:space="preserve">Record initial and final readings, adjustment details, and tech ID.</w:t>
      </w:r>
    </w:p>
    <w:p>
      <w:pPr>
        <w:pStyle w:val="Compact"/>
        <w:numPr>
          <w:ilvl w:val="0"/>
          <w:numId w:val="1003"/>
        </w:numPr>
      </w:pPr>
      <w:r>
        <w:t xml:space="preserve">Submit calibration report to site operator and applicable weights &amp; measures authority.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e835414015e408cb03f83e74becb73663c9e49"/>
    <w:p>
      <w:pPr>
        <w:pStyle w:val="Heading3"/>
      </w:pPr>
      <w:r>
        <w:t xml:space="preserve">2. Overfill Prevention Valve (OPV) Inspection and Replacement</w:t>
      </w:r>
    </w:p>
    <w:bookmarkStart w:id="24" w:name="purpose-and-function"/>
    <w:p>
      <w:pPr>
        <w:pStyle w:val="Heading4"/>
      </w:pPr>
      <w:r>
        <w:t xml:space="preserve">2.1 Purpose and Function</w:t>
      </w:r>
    </w:p>
    <w:p>
      <w:pPr>
        <w:pStyle w:val="Compact"/>
        <w:numPr>
          <w:ilvl w:val="0"/>
          <w:numId w:val="1004"/>
        </w:numPr>
      </w:pPr>
      <w:r>
        <w:t xml:space="preserve">OPV (e.g., OPW 61SO, EBW 410) shuts off fuel delivery at 90–95% tank capacity.</w:t>
      </w:r>
    </w:p>
    <w:p>
      <w:pPr>
        <w:pStyle w:val="Compact"/>
        <w:numPr>
          <w:ilvl w:val="0"/>
          <w:numId w:val="1004"/>
        </w:numPr>
      </w:pPr>
      <w:r>
        <w:t xml:space="preserve">Required under EPA 40 CFR §280.20(c) for all new or upgraded systems.</w:t>
      </w:r>
    </w:p>
    <w:bookmarkEnd w:id="24"/>
    <w:bookmarkStart w:id="25" w:name="inspection-and-removal"/>
    <w:p>
      <w:pPr>
        <w:pStyle w:val="Heading4"/>
      </w:pPr>
      <w:r>
        <w:t xml:space="preserve">2.2 Inspection and Removal</w:t>
      </w:r>
    </w:p>
    <w:p>
      <w:pPr>
        <w:pStyle w:val="Compact"/>
        <w:numPr>
          <w:ilvl w:val="0"/>
          <w:numId w:val="1005"/>
        </w:numPr>
      </w:pPr>
      <w:r>
        <w:t xml:space="preserve">Access via drop tube inside tank; use OPV extraction tool or extension rod.</w:t>
      </w:r>
    </w:p>
    <w:p>
      <w:pPr>
        <w:pStyle w:val="Compact"/>
        <w:numPr>
          <w:ilvl w:val="0"/>
          <w:numId w:val="1005"/>
        </w:numPr>
      </w:pPr>
      <w:r>
        <w:t xml:space="preserve">Inspect float arm, seating gasket, and pivot mechanism.</w:t>
      </w:r>
    </w:p>
    <w:p>
      <w:pPr>
        <w:pStyle w:val="Compact"/>
        <w:numPr>
          <w:ilvl w:val="0"/>
          <w:numId w:val="1005"/>
        </w:numPr>
      </w:pPr>
      <w:r>
        <w:t xml:space="preserve">Replace if warped, corroded, or if float fails to rise and lock at target height.</w:t>
      </w:r>
    </w:p>
    <w:bookmarkEnd w:id="25"/>
    <w:bookmarkStart w:id="26" w:name="reinstallation-and-testing"/>
    <w:p>
      <w:pPr>
        <w:pStyle w:val="Heading4"/>
      </w:pPr>
      <w:r>
        <w:t xml:space="preserve">2.3 Reinstallation and Testing</w:t>
      </w:r>
    </w:p>
    <w:p>
      <w:pPr>
        <w:pStyle w:val="Compact"/>
        <w:numPr>
          <w:ilvl w:val="0"/>
          <w:numId w:val="1006"/>
        </w:numPr>
      </w:pPr>
      <w:r>
        <w:t xml:space="preserve">Seat new OPV with factory torque spec (usually 30–45 ft-lbs).</w:t>
      </w:r>
    </w:p>
    <w:p>
      <w:pPr>
        <w:pStyle w:val="Compact"/>
        <w:numPr>
          <w:ilvl w:val="0"/>
          <w:numId w:val="1006"/>
        </w:numPr>
      </w:pPr>
      <w:r>
        <w:t xml:space="preserve">Perform simulated fill using compressed air and dummy probe to trigger float lock.</w:t>
      </w:r>
    </w:p>
    <w:p>
      <w:pPr>
        <w:pStyle w:val="Compact"/>
        <w:numPr>
          <w:ilvl w:val="0"/>
          <w:numId w:val="1006"/>
        </w:numPr>
      </w:pPr>
      <w:r>
        <w:t xml:space="preserve">Document model, serial, and install date.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87d49290b44eb04d691cf70ad3263d1bcb2e355"/>
    <w:p>
      <w:pPr>
        <w:pStyle w:val="Heading3"/>
      </w:pPr>
      <w:r>
        <w:t xml:space="preserve">3. Sensor Calibration and Field Re-Verification</w:t>
      </w:r>
    </w:p>
    <w:bookmarkStart w:id="28" w:name="atg-sensor-types"/>
    <w:p>
      <w:pPr>
        <w:pStyle w:val="Heading4"/>
      </w:pPr>
      <w:r>
        <w:t xml:space="preserve">3.1 ATG Sensor Types</w:t>
      </w:r>
    </w:p>
    <w:p>
      <w:pPr>
        <w:pStyle w:val="Compact"/>
        <w:numPr>
          <w:ilvl w:val="0"/>
          <w:numId w:val="1007"/>
        </w:numPr>
      </w:pPr>
      <w:r>
        <w:t xml:space="preserve">Common: Veeder-Root Mag Plus probes, brine sensors, interstitial sensors, discriminating cable.</w:t>
      </w:r>
    </w:p>
    <w:p>
      <w:pPr>
        <w:pStyle w:val="Compact"/>
        <w:numPr>
          <w:ilvl w:val="0"/>
          <w:numId w:val="1007"/>
        </w:numPr>
      </w:pPr>
      <w:r>
        <w:t xml:space="preserve">Calibration drift occurs due to float swelling, temp variation, or fluid contamination.</w:t>
      </w:r>
    </w:p>
    <w:bookmarkEnd w:id="28"/>
    <w:bookmarkStart w:id="29" w:name="calibration-protocol"/>
    <w:p>
      <w:pPr>
        <w:pStyle w:val="Heading4"/>
      </w:pPr>
      <w:r>
        <w:t xml:space="preserve">3.2 Calibration Protocol</w:t>
      </w:r>
    </w:p>
    <w:p>
      <w:pPr>
        <w:pStyle w:val="Compact"/>
        <w:numPr>
          <w:ilvl w:val="0"/>
          <w:numId w:val="1008"/>
        </w:numPr>
      </w:pPr>
      <w:r>
        <w:t xml:space="preserve">Validate tank depth using tank chart and ATG stick readings.</w:t>
      </w:r>
    </w:p>
    <w:p>
      <w:pPr>
        <w:pStyle w:val="Compact"/>
        <w:numPr>
          <w:ilvl w:val="0"/>
          <w:numId w:val="1008"/>
        </w:numPr>
      </w:pPr>
      <w:r>
        <w:t xml:space="preserve">Pull probe, clean with isopropyl solution, and re-zero floats using OEM calibration cradle.</w:t>
      </w:r>
    </w:p>
    <w:p>
      <w:pPr>
        <w:pStyle w:val="Compact"/>
        <w:numPr>
          <w:ilvl w:val="0"/>
          <w:numId w:val="1008"/>
        </w:numPr>
      </w:pPr>
      <w:r>
        <w:t xml:space="preserve">Reinstall and run span test to ensure readings match known fluid level.</w:t>
      </w:r>
    </w:p>
    <w:bookmarkEnd w:id="29"/>
    <w:bookmarkStart w:id="30" w:name="reporting"/>
    <w:p>
      <w:pPr>
        <w:pStyle w:val="Heading4"/>
      </w:pPr>
      <w:r>
        <w:t xml:space="preserve">3.3 Reporting</w:t>
      </w:r>
    </w:p>
    <w:p>
      <w:pPr>
        <w:pStyle w:val="Compact"/>
        <w:numPr>
          <w:ilvl w:val="0"/>
          <w:numId w:val="1009"/>
        </w:numPr>
      </w:pPr>
      <w:r>
        <w:t xml:space="preserve">Retain float calibration logs and float replacement date.</w:t>
      </w:r>
    </w:p>
    <w:p>
      <w:pPr>
        <w:pStyle w:val="Compact"/>
        <w:numPr>
          <w:ilvl w:val="0"/>
          <w:numId w:val="1009"/>
        </w:numPr>
      </w:pPr>
      <w:r>
        <w:t xml:space="preserve">Submit updated tank chart mapping if probe swap alters readings.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vapor-line-repair-and-leak-verification"/>
    <w:p>
      <w:pPr>
        <w:pStyle w:val="Heading3"/>
      </w:pPr>
      <w:r>
        <w:t xml:space="preserve">4. Vapor Line Repair and Leak Verification</w:t>
      </w:r>
    </w:p>
    <w:bookmarkStart w:id="32" w:name="line-types-and-fail-points"/>
    <w:p>
      <w:pPr>
        <w:pStyle w:val="Heading4"/>
      </w:pPr>
      <w:r>
        <w:t xml:space="preserve">4.1 Line Types and Fail Points</w:t>
      </w:r>
    </w:p>
    <w:p>
      <w:pPr>
        <w:pStyle w:val="Compact"/>
        <w:numPr>
          <w:ilvl w:val="0"/>
          <w:numId w:val="1010"/>
        </w:numPr>
      </w:pPr>
      <w:r>
        <w:t xml:space="preserve">Typically flexible coaxial or dual-line with dry break fittings.</w:t>
      </w:r>
    </w:p>
    <w:p>
      <w:pPr>
        <w:pStyle w:val="Compact"/>
        <w:numPr>
          <w:ilvl w:val="0"/>
          <w:numId w:val="1010"/>
        </w:numPr>
      </w:pPr>
      <w:r>
        <w:t xml:space="preserve">Failures often occur at elbows, improperly torqued clamps, or degraded rubber gaskets.</w:t>
      </w:r>
    </w:p>
    <w:bookmarkEnd w:id="32"/>
    <w:bookmarkStart w:id="33" w:name="leak-isolation-technique"/>
    <w:p>
      <w:pPr>
        <w:pStyle w:val="Heading4"/>
      </w:pPr>
      <w:r>
        <w:t xml:space="preserve">4.2 Leak Isolation Technique</w:t>
      </w:r>
    </w:p>
    <w:p>
      <w:pPr>
        <w:pStyle w:val="Compact"/>
        <w:numPr>
          <w:ilvl w:val="0"/>
          <w:numId w:val="1011"/>
        </w:numPr>
      </w:pPr>
      <w:r>
        <w:t xml:space="preserve">Use pressure decay test (CARB TP-201.3) with inert gas pressurization to 2.0” WC.</w:t>
      </w:r>
    </w:p>
    <w:p>
      <w:pPr>
        <w:pStyle w:val="Compact"/>
        <w:numPr>
          <w:ilvl w:val="0"/>
          <w:numId w:val="1011"/>
        </w:numPr>
      </w:pPr>
      <w:r>
        <w:t xml:space="preserve">Monitor for 0.05” WC drop in 5 minutes (pass/fail threshold).</w:t>
      </w:r>
    </w:p>
    <w:p>
      <w:pPr>
        <w:pStyle w:val="Compact"/>
        <w:numPr>
          <w:ilvl w:val="0"/>
          <w:numId w:val="1011"/>
        </w:numPr>
      </w:pPr>
      <w:r>
        <w:t xml:space="preserve">Apply soapy solution or ultrasonic sniffer to locate leak point.</w:t>
      </w:r>
    </w:p>
    <w:bookmarkEnd w:id="33"/>
    <w:bookmarkStart w:id="34" w:name="repair-and-retest"/>
    <w:p>
      <w:pPr>
        <w:pStyle w:val="Heading4"/>
      </w:pPr>
      <w:r>
        <w:t xml:space="preserve">4.3 Repair and Retest</w:t>
      </w:r>
    </w:p>
    <w:p>
      <w:pPr>
        <w:pStyle w:val="Compact"/>
        <w:numPr>
          <w:ilvl w:val="0"/>
          <w:numId w:val="1012"/>
        </w:numPr>
      </w:pPr>
      <w:r>
        <w:t xml:space="preserve">Replace compromised segment using OEM-rated couplers.</w:t>
      </w:r>
    </w:p>
    <w:p>
      <w:pPr>
        <w:pStyle w:val="Compact"/>
        <w:numPr>
          <w:ilvl w:val="0"/>
          <w:numId w:val="1012"/>
        </w:numPr>
      </w:pPr>
      <w:r>
        <w:t xml:space="preserve">Retest entire system after repair and log retest values for audit.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ddf50075847d2771891b281045f3215db8a6876"/>
    <w:p>
      <w:pPr>
        <w:pStyle w:val="Heading3"/>
      </w:pPr>
      <w:r>
        <w:t xml:space="preserve">5. Tank Chart Verification and Recalculation</w:t>
      </w:r>
    </w:p>
    <w:bookmarkStart w:id="36" w:name="purpose"/>
    <w:p>
      <w:pPr>
        <w:pStyle w:val="Heading4"/>
      </w:pPr>
      <w:r>
        <w:t xml:space="preserve">5.1 Purpose</w:t>
      </w:r>
    </w:p>
    <w:p>
      <w:pPr>
        <w:pStyle w:val="Compact"/>
        <w:numPr>
          <w:ilvl w:val="0"/>
          <w:numId w:val="1013"/>
        </w:numPr>
      </w:pPr>
      <w:r>
        <w:t xml:space="preserve">Tank chart accuracy ensures ATG volume conversion from inches to gallons is correct.</w:t>
      </w:r>
    </w:p>
    <w:p>
      <w:pPr>
        <w:pStyle w:val="Compact"/>
        <w:numPr>
          <w:ilvl w:val="0"/>
          <w:numId w:val="1013"/>
        </w:numPr>
      </w:pPr>
      <w:r>
        <w:t xml:space="preserve">Required to match calibration stick results within ±1%.</w:t>
      </w:r>
    </w:p>
    <w:bookmarkEnd w:id="36"/>
    <w:bookmarkStart w:id="37" w:name="chart-development-and-audit"/>
    <w:p>
      <w:pPr>
        <w:pStyle w:val="Heading4"/>
      </w:pPr>
      <w:r>
        <w:t xml:space="preserve">5.2 Chart Development and Audit</w:t>
      </w:r>
    </w:p>
    <w:p>
      <w:pPr>
        <w:pStyle w:val="Compact"/>
        <w:numPr>
          <w:ilvl w:val="0"/>
          <w:numId w:val="1014"/>
        </w:numPr>
      </w:pPr>
      <w:r>
        <w:t xml:space="preserve">Measure tank dimensions manually: length, diameter, end-type (flat vs. hemispherical).</w:t>
      </w:r>
    </w:p>
    <w:p>
      <w:pPr>
        <w:pStyle w:val="Compact"/>
        <w:numPr>
          <w:ilvl w:val="0"/>
          <w:numId w:val="1014"/>
        </w:numPr>
      </w:pPr>
      <w:r>
        <w:t xml:space="preserve">Compare ATG readings with stick readings at ¼, ½, ¾, and full marks.</w:t>
      </w:r>
    </w:p>
    <w:p>
      <w:pPr>
        <w:pStyle w:val="Compact"/>
        <w:numPr>
          <w:ilvl w:val="0"/>
          <w:numId w:val="1014"/>
        </w:numPr>
      </w:pPr>
      <w:r>
        <w:t xml:space="preserve">Input into chart generation software (e.g., Veeder Chart Tool, AutoChart).</w:t>
      </w:r>
    </w:p>
    <w:bookmarkEnd w:id="37"/>
    <w:bookmarkStart w:id="38" w:name="submission-and-retention"/>
    <w:p>
      <w:pPr>
        <w:pStyle w:val="Heading4"/>
      </w:pPr>
      <w:r>
        <w:t xml:space="preserve">5.3 Submission and Retention</w:t>
      </w:r>
    </w:p>
    <w:p>
      <w:pPr>
        <w:pStyle w:val="Compact"/>
        <w:numPr>
          <w:ilvl w:val="0"/>
          <w:numId w:val="1015"/>
        </w:numPr>
      </w:pPr>
      <w:r>
        <w:t xml:space="preserve">Save and back up revised tank chart with technician signature and date.</w:t>
      </w:r>
    </w:p>
    <w:p>
      <w:pPr>
        <w:pStyle w:val="Compact"/>
        <w:numPr>
          <w:ilvl w:val="0"/>
          <w:numId w:val="1015"/>
        </w:numPr>
      </w:pPr>
      <w:r>
        <w:t xml:space="preserve">Upload to ATG system and print physical copy for UST logbook.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Volume 6 expands the field technician’s toolkit with high-precision maintenance and calibration standards. These operations ensure accuracy, environmental safety, and regulatory integrity across core UST systems. Next up: vapor recovery diagnostics, turbine pump efficiency analysis, and sump integrity restoration.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2025-08-25T02:03:27Z</dcterms:created>
  <dcterms:modified xsi:type="dcterms:W3CDTF">2025-08-25T02:03:27Z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