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8: Dispenser Electronics, Surge Protection, EMV Lifecycle, and Fuel Quality Assurance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Electronic Systems Maintenance, Payment Technology Compliance, and Fuel Integrity Testing</w:t>
      </w:r>
    </w:p>
    <w:p>
      <w:r>
        <w:pict>
          <v:rect style="width:0;height:1.5pt" o:hralign="center" o:hrstd="t" o:hr="t"/>
        </w:pict>
      </w:r>
    </w:p>
    <w:bookmarkStart w:id="23" w:name="X260bd81a31b66a8f4bd5716cad050b21d4e8e23"/>
    <w:p>
      <w:pPr>
        <w:pStyle w:val="Heading3"/>
      </w:pPr>
      <w:r>
        <w:t xml:space="preserve">1. Dispenser Electronics – Board-Level Diagnostics and Component Management</w:t>
      </w:r>
    </w:p>
    <w:bookmarkStart w:id="20" w:name="main-board-architecture"/>
    <w:p>
      <w:pPr>
        <w:pStyle w:val="Heading4"/>
      </w:pPr>
      <w:r>
        <w:t xml:space="preserve">1.1 Main Board Architecture</w:t>
      </w:r>
    </w:p>
    <w:p>
      <w:pPr>
        <w:pStyle w:val="Compact"/>
        <w:numPr>
          <w:ilvl w:val="0"/>
          <w:numId w:val="1001"/>
        </w:numPr>
      </w:pPr>
      <w:r>
        <w:t xml:space="preserve">Control boards include microprocessor, input/output channels, memory, power regulation, and communication bus.</w:t>
      </w:r>
    </w:p>
    <w:p>
      <w:pPr>
        <w:pStyle w:val="Compact"/>
        <w:numPr>
          <w:ilvl w:val="0"/>
          <w:numId w:val="1001"/>
        </w:numPr>
      </w:pPr>
      <w:r>
        <w:t xml:space="preserve">CRIND boards process card reader, keypad, display, and secure PIN entry.</w:t>
      </w:r>
    </w:p>
    <w:p>
      <w:pPr>
        <w:pStyle w:val="Compact"/>
        <w:numPr>
          <w:ilvl w:val="0"/>
          <w:numId w:val="1001"/>
        </w:numPr>
      </w:pPr>
      <w:r>
        <w:t xml:space="preserve">Use logic schematics from OEM (Gilbarco, Wayne, Bennett) for reference.</w:t>
      </w:r>
    </w:p>
    <w:bookmarkEnd w:id="20"/>
    <w:bookmarkStart w:id="21" w:name="troubleshooting-methodology"/>
    <w:p>
      <w:pPr>
        <w:pStyle w:val="Heading4"/>
      </w:pPr>
      <w:r>
        <w:t xml:space="preserve">1.2 Troubleshooting Methodology</w:t>
      </w:r>
    </w:p>
    <w:p>
      <w:pPr>
        <w:pStyle w:val="Compact"/>
        <w:numPr>
          <w:ilvl w:val="0"/>
          <w:numId w:val="1002"/>
        </w:numPr>
      </w:pPr>
      <w:r>
        <w:t xml:space="preserve">Power rails: verify 5V, 12V, and 24V DC output using DMM.</w:t>
      </w:r>
    </w:p>
    <w:p>
      <w:pPr>
        <w:pStyle w:val="Compact"/>
        <w:numPr>
          <w:ilvl w:val="0"/>
          <w:numId w:val="1002"/>
        </w:numPr>
      </w:pPr>
      <w:r>
        <w:t xml:space="preserve">Check for burned components, swollen capacitors, or broken solder joints.</w:t>
      </w:r>
    </w:p>
    <w:p>
      <w:pPr>
        <w:pStyle w:val="Compact"/>
        <w:numPr>
          <w:ilvl w:val="0"/>
          <w:numId w:val="1002"/>
        </w:numPr>
      </w:pPr>
      <w:r>
        <w:t xml:space="preserve">Use ESR meter for capacitor analysis and FLIR thermography to identify overheating ICs.</w:t>
      </w:r>
    </w:p>
    <w:p>
      <w:pPr>
        <w:pStyle w:val="Compact"/>
        <w:numPr>
          <w:ilvl w:val="0"/>
          <w:numId w:val="1002"/>
        </w:numPr>
      </w:pPr>
      <w:r>
        <w:t xml:space="preserve">Bench-test suspected boards using known-good harness.</w:t>
      </w:r>
    </w:p>
    <w:bookmarkEnd w:id="21"/>
    <w:bookmarkStart w:id="22" w:name="replacement-and-programming"/>
    <w:p>
      <w:pPr>
        <w:pStyle w:val="Heading4"/>
      </w:pPr>
      <w:r>
        <w:t xml:space="preserve">1.3 Replacement and Programming</w:t>
      </w:r>
    </w:p>
    <w:p>
      <w:pPr>
        <w:pStyle w:val="Compact"/>
        <w:numPr>
          <w:ilvl w:val="0"/>
          <w:numId w:val="1003"/>
        </w:numPr>
      </w:pPr>
      <w:r>
        <w:t xml:space="preserve">Replace with OEM part or validated refurbished unit.</w:t>
      </w:r>
    </w:p>
    <w:p>
      <w:pPr>
        <w:pStyle w:val="Compact"/>
        <w:numPr>
          <w:ilvl w:val="0"/>
          <w:numId w:val="1003"/>
        </w:numPr>
      </w:pPr>
      <w:r>
        <w:t xml:space="preserve">Program via onboard jumpers or DIP switches if applicable.</w:t>
      </w:r>
    </w:p>
    <w:p>
      <w:pPr>
        <w:pStyle w:val="Compact"/>
        <w:numPr>
          <w:ilvl w:val="0"/>
          <w:numId w:val="1003"/>
        </w:numPr>
      </w:pPr>
      <w:r>
        <w:t xml:space="preserve">Document serial, firmware version, and configuration profile.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b5575647ca1b724530f28977669b3cd41d09f8d"/>
    <w:p>
      <w:pPr>
        <w:pStyle w:val="Heading3"/>
      </w:pPr>
      <w:r>
        <w:t xml:space="preserve">2. Surge Protection and Power Conditioning in Hazardous Environments</w:t>
      </w:r>
    </w:p>
    <w:bookmarkStart w:id="24" w:name="power-quality-challenges"/>
    <w:p>
      <w:pPr>
        <w:pStyle w:val="Heading4"/>
      </w:pPr>
      <w:r>
        <w:t xml:space="preserve">2.1 Power Quality Challenges</w:t>
      </w:r>
    </w:p>
    <w:p>
      <w:pPr>
        <w:pStyle w:val="Compact"/>
        <w:numPr>
          <w:ilvl w:val="0"/>
          <w:numId w:val="1004"/>
        </w:numPr>
      </w:pPr>
      <w:r>
        <w:t xml:space="preserve">Dispensers and controllers are highly sensitive to voltage sags, harmonics, and transients.</w:t>
      </w:r>
    </w:p>
    <w:p>
      <w:pPr>
        <w:pStyle w:val="Compact"/>
        <w:numPr>
          <w:ilvl w:val="0"/>
          <w:numId w:val="1004"/>
        </w:numPr>
      </w:pPr>
      <w:r>
        <w:t xml:space="preserve">Lightning-induced surges or poorly bonded grounds are common failure triggers.</w:t>
      </w:r>
    </w:p>
    <w:bookmarkEnd w:id="24"/>
    <w:bookmarkStart w:id="25" w:name="best-practice-installations"/>
    <w:p>
      <w:pPr>
        <w:pStyle w:val="Heading4"/>
      </w:pPr>
      <w:r>
        <w:t xml:space="preserve">2.2 Best Practice Installations</w:t>
      </w:r>
    </w:p>
    <w:p>
      <w:pPr>
        <w:pStyle w:val="Compact"/>
        <w:numPr>
          <w:ilvl w:val="0"/>
          <w:numId w:val="1005"/>
        </w:numPr>
      </w:pPr>
      <w:r>
        <w:t xml:space="preserve">Install UL 1449 4th Edition SPD (Surge Protective Device) at panel and dispenser.</w:t>
      </w:r>
    </w:p>
    <w:p>
      <w:pPr>
        <w:pStyle w:val="Compact"/>
        <w:numPr>
          <w:ilvl w:val="0"/>
          <w:numId w:val="1005"/>
        </w:numPr>
      </w:pPr>
      <w:r>
        <w:t xml:space="preserve">Use isolation transformer to protect POS and ATG low-voltage legs.</w:t>
      </w:r>
    </w:p>
    <w:p>
      <w:pPr>
        <w:pStyle w:val="Compact"/>
        <w:numPr>
          <w:ilvl w:val="0"/>
          <w:numId w:val="1005"/>
        </w:numPr>
      </w:pPr>
      <w:r>
        <w:t xml:space="preserve">Ground resistance must be &lt;5 ohms per IEEE Std. 142; measure using 3-point fall-of-potential test.</w:t>
      </w:r>
    </w:p>
    <w:bookmarkEnd w:id="25"/>
    <w:bookmarkStart w:id="26" w:name="grounding-schematics"/>
    <w:p>
      <w:pPr>
        <w:pStyle w:val="Heading4"/>
      </w:pPr>
      <w:r>
        <w:t xml:space="preserve">2.3 Grounding Schematics</w:t>
      </w:r>
    </w:p>
    <w:p>
      <w:pPr>
        <w:pStyle w:val="Compact"/>
        <w:numPr>
          <w:ilvl w:val="0"/>
          <w:numId w:val="1006"/>
        </w:numPr>
      </w:pPr>
      <w:r>
        <w:t xml:space="preserve">Bond all metallic components: dispenser frame, conduit, panels.</w:t>
      </w:r>
    </w:p>
    <w:p>
      <w:pPr>
        <w:pStyle w:val="Compact"/>
        <w:numPr>
          <w:ilvl w:val="0"/>
          <w:numId w:val="1006"/>
        </w:numPr>
      </w:pPr>
      <w:r>
        <w:t xml:space="preserve">Use #6 AWG or larger copper bonding conductor.</w:t>
      </w:r>
    </w:p>
    <w:p>
      <w:pPr>
        <w:pStyle w:val="Compact"/>
        <w:numPr>
          <w:ilvl w:val="0"/>
          <w:numId w:val="1006"/>
        </w:numPr>
      </w:pPr>
      <w:r>
        <w:t xml:space="preserve">Install insulated ground bar for sensitive electronics to prevent noise loops.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1b2524eca7a315dac3fb1fdd9899a763beec6ef"/>
    <w:p>
      <w:pPr>
        <w:pStyle w:val="Heading3"/>
      </w:pPr>
      <w:r>
        <w:t xml:space="preserve">3. EMV Lifecycle Management and Payment Compliance</w:t>
      </w:r>
    </w:p>
    <w:bookmarkStart w:id="28" w:name="emv-device-types"/>
    <w:p>
      <w:pPr>
        <w:pStyle w:val="Heading4"/>
      </w:pPr>
      <w:r>
        <w:t xml:space="preserve">3.1 EMV Device Types</w:t>
      </w:r>
    </w:p>
    <w:p>
      <w:pPr>
        <w:pStyle w:val="Compact"/>
        <w:numPr>
          <w:ilvl w:val="0"/>
          <w:numId w:val="1007"/>
        </w:numPr>
      </w:pPr>
      <w:r>
        <w:t xml:space="preserve">Secure PIN pads (SPED), encrypted card readers, contactless/NFC tap modules.</w:t>
      </w:r>
    </w:p>
    <w:p>
      <w:pPr>
        <w:pStyle w:val="Compact"/>
        <w:numPr>
          <w:ilvl w:val="0"/>
          <w:numId w:val="1007"/>
        </w:numPr>
      </w:pPr>
      <w:r>
        <w:t xml:space="preserve">Must be EMV L1 (hardware) and L2 (software kernel) certified.</w:t>
      </w:r>
    </w:p>
    <w:bookmarkEnd w:id="28"/>
    <w:bookmarkStart w:id="29" w:name="maintenance-practices"/>
    <w:p>
      <w:pPr>
        <w:pStyle w:val="Heading4"/>
      </w:pPr>
      <w:r>
        <w:t xml:space="preserve">3.2 Maintenance Practices</w:t>
      </w:r>
    </w:p>
    <w:p>
      <w:pPr>
        <w:pStyle w:val="Compact"/>
        <w:numPr>
          <w:ilvl w:val="0"/>
          <w:numId w:val="1008"/>
        </w:numPr>
      </w:pPr>
      <w:r>
        <w:t xml:space="preserve">Inspect for tamper evident seals and activity logs.</w:t>
      </w:r>
    </w:p>
    <w:p>
      <w:pPr>
        <w:pStyle w:val="Compact"/>
        <w:numPr>
          <w:ilvl w:val="0"/>
          <w:numId w:val="1008"/>
        </w:numPr>
      </w:pPr>
      <w:r>
        <w:t xml:space="preserve">Replace keypad overlays per PCI DSS 4.0 schedule (every 6–12 months).</w:t>
      </w:r>
    </w:p>
    <w:p>
      <w:pPr>
        <w:pStyle w:val="Compact"/>
        <w:numPr>
          <w:ilvl w:val="0"/>
          <w:numId w:val="1008"/>
        </w:numPr>
      </w:pPr>
      <w:r>
        <w:t xml:space="preserve">Validate time sync with host server to prevent transaction rejections.</w:t>
      </w:r>
    </w:p>
    <w:bookmarkEnd w:id="29"/>
    <w:bookmarkStart w:id="30" w:name="upgrade-and-reprogramming"/>
    <w:p>
      <w:pPr>
        <w:pStyle w:val="Heading4"/>
      </w:pPr>
      <w:r>
        <w:t xml:space="preserve">3.3 Upgrade and Reprogramming</w:t>
      </w:r>
    </w:p>
    <w:p>
      <w:pPr>
        <w:pStyle w:val="Compact"/>
        <w:numPr>
          <w:ilvl w:val="0"/>
          <w:numId w:val="1009"/>
        </w:numPr>
      </w:pPr>
      <w:r>
        <w:t xml:space="preserve">Load new firmware using secure loader via USB or network.</w:t>
      </w:r>
    </w:p>
    <w:p>
      <w:pPr>
        <w:pStyle w:val="Compact"/>
        <w:numPr>
          <w:ilvl w:val="0"/>
          <w:numId w:val="1009"/>
        </w:numPr>
      </w:pPr>
      <w:r>
        <w:t xml:space="preserve">Pair hardware token or activation license key.</w:t>
      </w:r>
    </w:p>
    <w:p>
      <w:pPr>
        <w:pStyle w:val="Compact"/>
        <w:numPr>
          <w:ilvl w:val="0"/>
          <w:numId w:val="1009"/>
        </w:numPr>
      </w:pPr>
      <w:r>
        <w:t xml:space="preserve">Maintain audit log of firmware version and cryptographic module.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dc95ce4a239ad2c6b35d33146fddb53b0be84a5"/>
    <w:p>
      <w:pPr>
        <w:pStyle w:val="Heading3"/>
      </w:pPr>
      <w:r>
        <w:t xml:space="preserve">4. Fuel Quality Testing and Contamination Control</w:t>
      </w:r>
    </w:p>
    <w:bookmarkStart w:id="32" w:name="testing-methods"/>
    <w:p>
      <w:pPr>
        <w:pStyle w:val="Heading4"/>
      </w:pPr>
      <w:r>
        <w:t xml:space="preserve">4.1 Testing Methods</w:t>
      </w:r>
    </w:p>
    <w:p>
      <w:pPr>
        <w:pStyle w:val="Compact"/>
        <w:numPr>
          <w:ilvl w:val="0"/>
          <w:numId w:val="1010"/>
        </w:numPr>
      </w:pPr>
      <w:r>
        <w:t xml:space="preserve">Water detection: Kolor Kut, Gasoila water paste on tank stick.</w:t>
      </w:r>
    </w:p>
    <w:p>
      <w:pPr>
        <w:pStyle w:val="Compact"/>
        <w:numPr>
          <w:ilvl w:val="0"/>
          <w:numId w:val="1010"/>
        </w:numPr>
      </w:pPr>
      <w:r>
        <w:t xml:space="preserve">Phase separation: Clear jar test or field separation test (ASTM D7544).</w:t>
      </w:r>
    </w:p>
    <w:p>
      <w:pPr>
        <w:pStyle w:val="Compact"/>
        <w:numPr>
          <w:ilvl w:val="0"/>
          <w:numId w:val="1010"/>
        </w:numPr>
      </w:pPr>
      <w:r>
        <w:t xml:space="preserve">Particulate content: 10 micron filter clog analysis or ULSD turbidity test.</w:t>
      </w:r>
    </w:p>
    <w:bookmarkEnd w:id="32"/>
    <w:bookmarkStart w:id="33" w:name="contamination-response-protocol"/>
    <w:p>
      <w:pPr>
        <w:pStyle w:val="Heading4"/>
      </w:pPr>
      <w:r>
        <w:t xml:space="preserve">4.2 Contamination Response Protocol</w:t>
      </w:r>
    </w:p>
    <w:p>
      <w:pPr>
        <w:pStyle w:val="Compact"/>
        <w:numPr>
          <w:ilvl w:val="0"/>
          <w:numId w:val="1011"/>
        </w:numPr>
      </w:pPr>
      <w:r>
        <w:t xml:space="preserve">Water &gt;1” detected: initiate emergency pumpout.</w:t>
      </w:r>
    </w:p>
    <w:p>
      <w:pPr>
        <w:pStyle w:val="Compact"/>
        <w:numPr>
          <w:ilvl w:val="0"/>
          <w:numId w:val="1011"/>
        </w:numPr>
      </w:pPr>
      <w:r>
        <w:t xml:space="preserve">Biological contamination: treat with EPA-registered biocide (e.g., Biobor JF).</w:t>
      </w:r>
    </w:p>
    <w:p>
      <w:pPr>
        <w:pStyle w:val="Compact"/>
        <w:numPr>
          <w:ilvl w:val="0"/>
          <w:numId w:val="1011"/>
        </w:numPr>
      </w:pPr>
      <w:r>
        <w:t xml:space="preserve">Rust or particulates: schedule full tank polish and recirculation filtration.</w:t>
      </w:r>
    </w:p>
    <w:bookmarkEnd w:id="33"/>
    <w:bookmarkStart w:id="34" w:name="documentation-and-retesting"/>
    <w:p>
      <w:pPr>
        <w:pStyle w:val="Heading4"/>
      </w:pPr>
      <w:r>
        <w:t xml:space="preserve">4.3 Documentation and Retesting</w:t>
      </w:r>
    </w:p>
    <w:p>
      <w:pPr>
        <w:pStyle w:val="Compact"/>
        <w:numPr>
          <w:ilvl w:val="0"/>
          <w:numId w:val="1012"/>
        </w:numPr>
      </w:pPr>
      <w:r>
        <w:t xml:space="preserve">Log readings, photos, and corrective actions.</w:t>
      </w:r>
    </w:p>
    <w:p>
      <w:pPr>
        <w:pStyle w:val="Compact"/>
        <w:numPr>
          <w:ilvl w:val="0"/>
          <w:numId w:val="1012"/>
        </w:numPr>
      </w:pPr>
      <w:r>
        <w:t xml:space="preserve">Retest post-pumpout for water and contaminants.</w:t>
      </w:r>
    </w:p>
    <w:p>
      <w:pPr>
        <w:pStyle w:val="Compact"/>
        <w:numPr>
          <w:ilvl w:val="0"/>
          <w:numId w:val="1012"/>
        </w:numPr>
      </w:pPr>
      <w:r>
        <w:t xml:space="preserve">Maintain log in ATG console notes and monthly UST file.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ecure-communication-and-pos-integration"/>
    <w:p>
      <w:pPr>
        <w:pStyle w:val="Heading3"/>
      </w:pPr>
      <w:r>
        <w:t xml:space="preserve">5. Secure Communication and POS Integration</w:t>
      </w:r>
    </w:p>
    <w:bookmarkStart w:id="36" w:name="site-network-architecture"/>
    <w:p>
      <w:pPr>
        <w:pStyle w:val="Heading4"/>
      </w:pPr>
      <w:r>
        <w:t xml:space="preserve">5.1 Site Network Architecture</w:t>
      </w:r>
    </w:p>
    <w:p>
      <w:pPr>
        <w:pStyle w:val="Compact"/>
        <w:numPr>
          <w:ilvl w:val="0"/>
          <w:numId w:val="1013"/>
        </w:numPr>
      </w:pPr>
      <w:r>
        <w:t xml:space="preserve">POS communicates with dispensers, site controller, and payment host via TCP/IP or serial RS-485.</w:t>
      </w:r>
    </w:p>
    <w:p>
      <w:pPr>
        <w:pStyle w:val="Compact"/>
        <w:numPr>
          <w:ilvl w:val="0"/>
          <w:numId w:val="1013"/>
        </w:numPr>
      </w:pPr>
      <w:r>
        <w:t xml:space="preserve">Critical to segment VLANs: one for payment, one for operations.</w:t>
      </w:r>
    </w:p>
    <w:bookmarkEnd w:id="36"/>
    <w:bookmarkStart w:id="37" w:name="secure-networking-practices"/>
    <w:p>
      <w:pPr>
        <w:pStyle w:val="Heading4"/>
      </w:pPr>
      <w:r>
        <w:t xml:space="preserve">5.2 Secure Networking Practices</w:t>
      </w:r>
    </w:p>
    <w:p>
      <w:pPr>
        <w:pStyle w:val="Compact"/>
        <w:numPr>
          <w:ilvl w:val="0"/>
          <w:numId w:val="1014"/>
        </w:numPr>
      </w:pPr>
      <w:r>
        <w:t xml:space="preserve">Use managed switch with MAC filtering and port lockdown.</w:t>
      </w:r>
    </w:p>
    <w:p>
      <w:pPr>
        <w:pStyle w:val="Compact"/>
        <w:numPr>
          <w:ilvl w:val="0"/>
          <w:numId w:val="1014"/>
        </w:numPr>
      </w:pPr>
      <w:r>
        <w:t xml:space="preserve">Implement end-to-end TLS encryption and two-factor login.</w:t>
      </w:r>
    </w:p>
    <w:p>
      <w:pPr>
        <w:pStyle w:val="Compact"/>
        <w:numPr>
          <w:ilvl w:val="0"/>
          <w:numId w:val="1014"/>
        </w:numPr>
      </w:pPr>
      <w:r>
        <w:t xml:space="preserve">Disable unused ports and log attempted connections.</w:t>
      </w:r>
    </w:p>
    <w:bookmarkEnd w:id="37"/>
    <w:bookmarkStart w:id="38" w:name="remote-support-enablement"/>
    <w:p>
      <w:pPr>
        <w:pStyle w:val="Heading4"/>
      </w:pPr>
      <w:r>
        <w:t xml:space="preserve">5.3 Remote Support Enablement</w:t>
      </w:r>
    </w:p>
    <w:p>
      <w:pPr>
        <w:pStyle w:val="Compact"/>
        <w:numPr>
          <w:ilvl w:val="0"/>
          <w:numId w:val="1015"/>
        </w:numPr>
      </w:pPr>
      <w:r>
        <w:t xml:space="preserve">Configure remote tunnel (VPN or encrypted SSH) for tech support access.</w:t>
      </w:r>
    </w:p>
    <w:p>
      <w:pPr>
        <w:pStyle w:val="Compact"/>
        <w:numPr>
          <w:ilvl w:val="0"/>
          <w:numId w:val="1015"/>
        </w:numPr>
      </w:pPr>
      <w:r>
        <w:t xml:space="preserve">Schedule off-peak firmware updates and configuration pushes.</w:t>
      </w:r>
    </w:p>
    <w:p>
      <w:pPr>
        <w:pStyle w:val="Compact"/>
        <w:numPr>
          <w:ilvl w:val="0"/>
          <w:numId w:val="1015"/>
        </w:numPr>
      </w:pPr>
      <w:r>
        <w:t xml:space="preserve">Always log into read-only mode unless physical presence is verified.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Volume 8 addresses the digital and electrical infrastructure that underpins petroleum retail systems. It bridges the gap between traditional service and modern cyber-physical threats while reinforcing precision diagnostics and fuel quality integrity. Volume 9 will continue into canopy electricals, filter lifecycle management, and environmental systems like water interceptors and vapor monitoring wells.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2025-08-25T02:12:13Z</dcterms:created>
  <dcterms:modified xsi:type="dcterms:W3CDTF">2025-08-25T02:12:13Z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