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CSE3CWA Assessment 3 Technical Report</w:t>
      </w:r>
    </w:p>
    <w:p>
      <w:r>
        <w:t>Jacob Fenollar | Student ID 22421357 | 1 October 2026</w:t>
      </w:r>
    </w:p>
    <w:p>
      <w:r>
        <w:t>Phoneme Studio now combines the Assessment 1 builder and Assessment 2 SQLite, API and Docker work with a data dashboard, saved monitoring events, reports and measured tests. This report explains the final data flow and the evidence included with the submission.</w:t>
      </w:r>
    </w:p>
    <w:p>
      <w:pPr>
        <w:pStyle w:val="Heading1"/>
      </w:pPr>
      <w:r>
        <w:t>Application and data flow</w:t>
      </w:r>
    </w:p>
    <w:p>
      <w:r>
        <w:t>Teachers manage phoneme word lists and reusable Wordle or Word Search settings in the Data Library. Next.js validates requests and saves lists, individual phonemes and activity configurations in SQLite. A stored activity can produce a self-contained HTML game. The earlier builders, previews, CRUD routes, database schema and Docker files remain in the project. The inherited project documentation records that Assessment 1 began with npx create-next-app .</w:t>
      </w:r>
    </w:p>
    <w:p>
      <w:r>
        <w:t>Assessment 3 adds a second schema version with generation events and visible page visits. Each server export records its result, activity type, duration and time. Completed visible page segments are sent by the browser and deduplicated by event ID. The dashboard reads SQL-backed totals, while Reports shows daily results, page usage and a CSV download. The /health route returns HTTP 200 when SQLite responds and HTTP 503 if it cannot connect.</w:t>
      </w:r>
    </w:p>
    <w:p>
      <w:pPr>
        <w:pStyle w:val="Heading1"/>
      </w:pPr>
      <w:r>
        <w:t>Dashboard measures and warnings</w:t>
      </w:r>
    </w:p>
    <w:p>
      <w:r>
        <w:t>The dashboard shows current Wordle and Word Search configuration counts, stored word lists, words and phoneme cells. It also shows historical successful and failed export attempts, their success rate and average duration, the most-used activity type, completed page visits and average visible time. A warning appears for failed exports or empty word lists. The current configuration count decreases after deletion; historical export events remain. Offline gameplay and preview-only downloads are outside server export counts.</w:t>
      </w:r>
    </w:p>
    <w:p>
      <w:r>
        <w:t>An optional action inserts twelve sample generation events and twelve sample page visits once. Two sample failures make the warning view easy to demonstrate. The simulated and observed records are stored and shown separately. The samples are not measured usage and are never included in observed totals.</w:t>
      </w:r>
    </w:p>
    <w:p>
      <w:pPr>
        <w:pStyle w:val="Heading1"/>
      </w:pPr>
      <w:r>
        <w:t>Browser testing</w:t>
      </w:r>
    </w:p>
    <w:p>
      <w:r>
        <w:t>On 28 September 2026, Playwright passed five of five browser tests. They covered persisted word-list create, read, update and delete after reload; a stored Wordle download followed by a successful phoneme guess; a stored Word Search download and grid interaction; dashboard alerts, simulation, CSV and health; and visible page time after navigation. Thirteen unit and API tests also passed, including the twelve inherited cases and an Assessment 3 persistence and validation case. The JSON test report is included under evidence/playwright/results.json.</w:t>
      </w:r>
    </w:p>
    <w:p>
      <w:pPr>
        <w:pStyle w:val="Heading1"/>
      </w:pPr>
      <w:r>
        <w:t>JMeter load measurements</w:t>
      </w:r>
    </w:p>
    <w:p>
      <w:r>
        <w:t>Apache JMeter 5.6.3 ran against a local production server and an isolated SQLite file on 28 September 2026. Each journey made ten HTTP requests: create, read and update a word list; create and export both activity types; read metrics; delete the list; and check health. The stages represent total journeys with a cap of twenty concurrent threads. They are not ten thousand simultaneous users.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vAlign w:val="center"/>
            <w:tcBorders>
              <w:top w:val="single" w:color="D9D9D9"/>
              <w:left w:val="single" w:color="D9D9D9"/>
              <w:bottom w:val="single" w:color="D9D9D9"/>
              <w:right w:val="single" w:color="D9D9D9"/>
            </w:tcBorders>
            <w:shd w:fill="24445C"/>
          </w:tcPr>
          <w:p>
            <w:pPr>
              <w:spacing w:after="40"/>
              <w:jc w:val="center"/>
            </w:pPr>
            <w:r>
              <w:rPr>
                <w:b/>
                <w:color w:val="FFFFFF"/>
                <w:sz w:val="17"/>
              </w:rPr>
              <w:t>Journeys</w:t>
            </w:r>
          </w:p>
        </w:tc>
        <w:tc>
          <w:tcPr>
            <w:tcW w:type="dxa" w:w="1666"/>
            <w:vAlign w:val="center"/>
            <w:tcBorders>
              <w:top w:val="single" w:color="D9D9D9"/>
              <w:left w:val="single" w:color="D9D9D9"/>
              <w:bottom w:val="single" w:color="D9D9D9"/>
              <w:right w:val="single" w:color="D9D9D9"/>
            </w:tcBorders>
            <w:shd w:fill="24445C"/>
          </w:tcPr>
          <w:p>
            <w:pPr>
              <w:spacing w:after="40"/>
              <w:jc w:val="center"/>
            </w:pPr>
            <w:r>
              <w:rPr>
                <w:b/>
                <w:color w:val="FFFFFF"/>
                <w:sz w:val="17"/>
              </w:rPr>
              <w:t>Threads</w:t>
            </w:r>
          </w:p>
        </w:tc>
        <w:tc>
          <w:tcPr>
            <w:tcW w:type="dxa" w:w="1666"/>
            <w:vAlign w:val="center"/>
            <w:tcBorders>
              <w:top w:val="single" w:color="D9D9D9"/>
              <w:left w:val="single" w:color="D9D9D9"/>
              <w:bottom w:val="single" w:color="D9D9D9"/>
              <w:right w:val="single" w:color="D9D9D9"/>
            </w:tcBorders>
            <w:shd w:fill="24445C"/>
          </w:tcPr>
          <w:p>
            <w:pPr>
              <w:spacing w:after="40"/>
              <w:jc w:val="center"/>
            </w:pPr>
            <w:r>
              <w:rPr>
                <w:b/>
                <w:color w:val="FFFFFF"/>
                <w:sz w:val="17"/>
              </w:rPr>
              <w:t>Requests</w:t>
            </w:r>
          </w:p>
        </w:tc>
        <w:tc>
          <w:tcPr>
            <w:tcW w:type="dxa" w:w="1666"/>
            <w:vAlign w:val="center"/>
            <w:tcBorders>
              <w:top w:val="single" w:color="D9D9D9"/>
              <w:left w:val="single" w:color="D9D9D9"/>
              <w:bottom w:val="single" w:color="D9D9D9"/>
              <w:right w:val="single" w:color="D9D9D9"/>
            </w:tcBorders>
            <w:shd w:fill="24445C"/>
          </w:tcPr>
          <w:p>
            <w:pPr>
              <w:spacing w:after="40"/>
              <w:jc w:val="center"/>
            </w:pPr>
            <w:r>
              <w:rPr>
                <w:b/>
                <w:color w:val="FFFFFF"/>
                <w:sz w:val="17"/>
              </w:rPr>
              <w:t>Errors</w:t>
            </w:r>
          </w:p>
        </w:tc>
        <w:tc>
          <w:tcPr>
            <w:tcW w:type="dxa" w:w="1666"/>
            <w:vAlign w:val="center"/>
            <w:tcBorders>
              <w:top w:val="single" w:color="D9D9D9"/>
              <w:left w:val="single" w:color="D9D9D9"/>
              <w:bottom w:val="single" w:color="D9D9D9"/>
              <w:right w:val="single" w:color="D9D9D9"/>
            </w:tcBorders>
            <w:shd w:fill="24445C"/>
          </w:tcPr>
          <w:p>
            <w:pPr>
              <w:spacing w:after="40"/>
              <w:jc w:val="center"/>
            </w:pPr>
            <w:r>
              <w:rPr>
                <w:b/>
                <w:color w:val="FFFFFF"/>
                <w:sz w:val="17"/>
              </w:rPr>
              <w:t>Mean ms</w:t>
            </w:r>
          </w:p>
        </w:tc>
        <w:tc>
          <w:tcPr>
            <w:tcW w:type="dxa" w:w="1666"/>
            <w:vAlign w:val="center"/>
            <w:tcBorders>
              <w:top w:val="single" w:color="D9D9D9"/>
              <w:left w:val="single" w:color="D9D9D9"/>
              <w:bottom w:val="single" w:color="D9D9D9"/>
              <w:right w:val="single" w:color="D9D9D9"/>
            </w:tcBorders>
            <w:shd w:fill="24445C"/>
          </w:tcPr>
          <w:p>
            <w:pPr>
              <w:spacing w:after="40"/>
              <w:jc w:val="center"/>
            </w:pPr>
            <w:r>
              <w:rPr>
                <w:b/>
                <w:color w:val="FFFFFF"/>
                <w:sz w:val="17"/>
              </w:rPr>
              <w:t>P95 ms</w:t>
            </w:r>
          </w:p>
        </w:tc>
      </w:tr>
      <w:tr>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813.8</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8083</w:t>
            </w:r>
          </w:p>
        </w:tc>
      </w:tr>
      <w:tr>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10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2</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100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156.6</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8</w:t>
            </w:r>
          </w:p>
        </w:tc>
      </w:tr>
      <w:tr>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100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5</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1,000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46.4</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15</w:t>
            </w:r>
          </w:p>
        </w:tc>
      </w:tr>
      <w:tr>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1,000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10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10,000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0</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27.1</w:t>
            </w:r>
          </w:p>
        </w:tc>
        <w:tc>
          <w:tcPr>
            <w:tcW w:type="dxa" w:w="1666"/>
            <w:vAlign w:val="center"/>
            <w:tcBorders>
              <w:top w:val="single" w:color="D9D9D9"/>
              <w:left w:val="single" w:color="D9D9D9"/>
              <w:bottom w:val="single" w:color="D9D9D9"/>
              <w:right w:val="single" w:color="D9D9D9"/>
            </w:tcBorders>
            <w:shd w:fill="F0F4F8"/>
          </w:tcPr>
          <w:p>
            <w:pPr>
              <w:spacing w:after="40"/>
              <w:jc w:val="center"/>
            </w:pPr>
            <w:r>
              <w:rPr>
                <w:sz w:val="17"/>
              </w:rPr>
              <w:t>28</w:t>
            </w:r>
          </w:p>
        </w:tc>
      </w:tr>
      <w:tr>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10,000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20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100,000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0</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61.1</w:t>
            </w:r>
          </w:p>
        </w:tc>
        <w:tc>
          <w:tcPr>
            <w:tcW w:type="dxa" w:w="1666"/>
            <w:vAlign w:val="center"/>
            <w:tcBorders>
              <w:top w:val="single" w:color="D9D9D9"/>
              <w:left w:val="single" w:color="D9D9D9"/>
              <w:bottom w:val="single" w:color="D9D9D9"/>
              <w:right w:val="single" w:color="D9D9D9"/>
            </w:tcBorders>
            <w:shd w:fill="FFFFFF"/>
          </w:tcPr>
          <w:p>
            <w:pPr>
              <w:spacing w:after="40"/>
              <w:jc w:val="center"/>
            </w:pPr>
            <w:r>
              <w:rPr>
                <w:sz w:val="17"/>
              </w:rPr>
              <w:t>108</w:t>
            </w:r>
          </w:p>
        </w:tc>
      </w:tr>
    </w:tbl>
    <w:p>
      <w:r>
        <w:t>Across all five stages, 111,110 requests completed with zero HTTP errors. The 10,000-journey stage completed 100,000 requests in 307 seconds at about 326 requests per second, with a 61 ms mean and 108 ms P95. Each stage had one initial connection taking about eight seconds, so low-volume means are inflated. Other browser audits ran on the same machine during early stages. These measurements show this local workflow remained responsive under the tested thread cap; they do not establish production or distributed capacity. Raw JMeter JTL files and a derived JSON summary are included.</w:t>
      </w:r>
    </w:p>
    <w:p>
      <w:pPr>
        <w:pStyle w:val="Heading1"/>
      </w:pPr>
      <w:r>
        <w:t>Accessibility review</w:t>
      </w:r>
    </w:p>
    <w:p>
      <w:r>
        <w:t>Lighthouse accessibility audits were run on the production app. The first dashboard audit scored 100, yet its detailed checks found a home-link accessible name that differed from its visible text. The link now takes its name from its visible brand. The Data Library and builder audits flagged phoneme controls whose names did not match the symbols shown. The controls now derive their names from visible content plus hidden action hints. The builders also showed low contrast in a selected difficulty card in dark mode, so its small text now uses a stronger color. Browser testing revealed that the saved description field needed a stable explicit label after reload, which was added. The final page scores and any audit warnings are recorded in evidence/VERIFICATION.md and the Lighthouse JSON and HTML files. Automated scores do not replace manual keyboard or screen-reader review.</w:t>
      </w:r>
    </w:p>
    <w:p>
      <w:pPr>
        <w:pStyle w:val="Heading1"/>
      </w:pPr>
      <w:r>
        <w:t>Run and submission notes</w:t>
      </w:r>
    </w:p>
    <w:p>
      <w:r>
        <w:t>Run npm ci and npm run check from the folder containing package.json, then npm run dev. The project uses Node.js 22.19 or newer. Browser tests run with npm run test:e2e after a production build and a Playwright Chromium install. The Docker Compose and Dockerfile structure was checked locally. GitHub Actions run 36846688654 built and ran the Docker image and passed its /health check; its application and browser jobs also passed. The requested public GitHub repository and its commit are identified in GITHUB_REFERENCE.txt. The student still needs to record the three to eight minute video with face, voice and student ID, and submit the editable report through the similarity system.</w:t>
      </w:r>
    </w:p>
    <w:sectPr w:rsidR="00FC693F" w:rsidRPr="0006063C" w:rsidSect="00034616">
      <w:footerReference w:type="default" r:id="rId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Jacob Fenollar | CSE3CWA Assessment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