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Arial" w:cs="Arial" w:eastAsia="Arial" w:hAnsi="Arial"/>
          <w:b/>
          <w:bCs/>
          <w:color w:val="004AAC"/>
          <w:sz w:val="22"/>
          <w:szCs w:val="22"/>
        </w:rPr>
        <w:t xml:space="preserve">DXC Technology</w:t>
      </w:r>
    </w:p>
    <w:p>
      <w:pPr>
        <w:pBdr>
          <w:bottom w:val="single" w:color="4995FF" w:sz="4" w:space="8"/>
        </w:pBdr>
        <w:spacing w:after="40"/>
        <w:jc w:val="center"/>
      </w:pPr>
      <w:r>
        <w:rPr>
          <w:rFonts w:ascii="Arial" w:cs="Arial" w:eastAsia="Arial" w:hAnsi="Arial"/>
          <w:color w:val="0E1020"/>
          <w:sz w:val="20"/>
          <w:szCs w:val="20"/>
        </w:rPr>
        <w:t xml:space="preserve">Insurance Solutions | Smart Apps</w:t>
      </w:r>
    </w:p>
    <w:p>
      <w:pPr>
        <w:spacing w:after="400"/>
      </w:pPr>
    </w:p>
    <w:p>
      <w:pPr>
        <w:spacing w:after="120"/>
        <w:jc w:val="center"/>
      </w:pPr>
      <w:r>
        <w:rPr>
          <w:rFonts w:ascii="Arial" w:cs="Arial" w:eastAsia="Arial" w:hAnsi="Arial"/>
          <w:b/>
          <w:bCs/>
          <w:color w:val="0E1020"/>
          <w:sz w:val="40"/>
          <w:szCs w:val="40"/>
        </w:rPr>
        <w:t xml:space="preserve">DEVELOPMENT PLAN</w:t>
      </w:r>
    </w:p>
    <w:p>
      <w:pPr>
        <w:spacing w:after="200"/>
        <w:jc w:val="center"/>
      </w:pPr>
      <w:r>
        <w:rPr>
          <w:rFonts w:ascii="Arial" w:cs="Arial" w:eastAsia="Arial" w:hAnsi="Arial"/>
          <w:b/>
          <w:bCs/>
          <w:color w:val="004AAC"/>
          <w:sz w:val="34"/>
          <w:szCs w:val="34"/>
        </w:rPr>
        <w:t xml:space="preserve">Loan &amp; Withdrawal Smart App</w:t>
      </w:r>
    </w:p>
    <w:p>
      <w:pPr>
        <w:spacing w:after="80"/>
        <w:jc w:val="center"/>
      </w:pPr>
      <w:r>
        <w:rPr>
          <w:rFonts w:ascii="Arial" w:cs="Arial" w:eastAsia="Arial" w:hAnsi="Arial"/>
          <w:color w:val="0E1020"/>
          <w:sz w:val="24"/>
          <w:szCs w:val="24"/>
        </w:rPr>
        <w:t xml:space="preserve">AI-Accelerated UI Build + ServiceNow FSO Integration</w:t>
      </w:r>
    </w:p>
    <w:p>
      <w:pPr>
        <w:spacing w:after="600"/>
      </w:pPr>
    </w:p>
    <w:p>
      <w:pPr>
        <w:pBdr>
          <w:top w:val="single" w:color="D0CCC7" w:sz="2" w:space="8"/>
        </w:pBdr>
        <w:spacing w:after="80"/>
        <w:jc w:val="center"/>
      </w:pPr>
      <w:r>
        <w:rPr>
          <w:rFonts w:ascii="Arial" w:cs="Arial" w:eastAsia="Arial" w:hAnsi="Arial"/>
          <w:b/>
          <w:bCs/>
          <w:color w:val="FFAE41"/>
          <w:sz w:val="22"/>
          <w:szCs w:val="22"/>
        </w:rPr>
        <w:t xml:space="preserve">Hackathon Execution Playbook</w:t>
      </w:r>
    </w:p>
    <w:p>
      <w:pPr>
        <w:spacing w:after="40"/>
        <w:jc w:val="center"/>
      </w:pPr>
      <w:r>
        <w:rPr>
          <w:rFonts w:ascii="Arial" w:cs="Arial" w:eastAsia="Arial" w:hAnsi="Arial"/>
          <w:color w:val="0E1020"/>
          <w:sz w:val="20"/>
          <w:szCs w:val="20"/>
        </w:rPr>
        <w:t xml:space="preserve">Version 1.0  |  February 2026</w:t>
      </w:r>
    </w:p>
    <w:p>
      <w:pPr>
        <w:jc w:val="center"/>
      </w:pPr>
      <w:r>
        <w:rPr>
          <w:rFonts w:ascii="Arial" w:cs="Arial" w:eastAsia="Arial" w:hAnsi="Arial"/>
          <w:color w:val="888888"/>
          <w:sz w:val="18"/>
          <w:szCs w:val="18"/>
        </w:rPr>
        <w:t xml:space="preserve">DXC Internal</w:t>
      </w:r>
    </w:p>
    <w:p>
      <w:pPr>
        <w:spacing w:after="1200"/>
      </w:pPr>
    </w:p>
    <w:p>
      <w:pPr>
        <w:jc w:val="center"/>
      </w:pPr>
      <w:r>
        <w:rPr>
          <w:rFonts w:ascii="Arial" w:cs="Arial" w:eastAsia="Arial" w:hAnsi="Arial"/>
          <w:color w:val="999999"/>
          <w:sz w:val="16"/>
          <w:szCs w:val="16"/>
        </w:rPr>
        <w:t xml:space="preserve">© 2026 DXC Technology Company. All rights reserved.</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0E1020"/>
          <w:sz w:val="32"/>
          <w:szCs w:val="32"/>
        </w:rPr>
        <w:t xml:space="preserve">1. Development Philosophy: AI-First, Integrate Second</w:t>
      </w:r>
    </w:p>
    <w:p>
      <w:pPr>
        <w:spacing w:after="160"/>
      </w:pPr>
      <w:r>
        <w:rPr>
          <w:rFonts w:ascii="Arial" w:cs="Arial" w:eastAsia="Arial" w:hAnsi="Arial"/>
          <w:color w:val="0E1020"/>
          <w:sz w:val="20"/>
          <w:szCs w:val="20"/>
        </w:rPr>
        <w:t xml:space="preserve">This plan is built around a two-phase execution model designed for maximum velocity. In Phase 1, the team uses AI coding assistants (Claude, Copilot, Cursor, or equivalent) to generate fully functional UI components as standalone React/HTML applications with mock data services. In Phase 2, these proven UI components are ported into ServiceNow FSO as UI Builder pages, workspace components, and custom widgets. This approach eliminates the single biggest bottleneck in hackathon development: waiting on platform configuration before the UI can be demonstrated.</w:t>
      </w:r>
    </w:p>
    <w:p>
      <w:pPr>
        <w:pStyle w:val="Heading2"/>
        <w:spacing w:before="280" w:after="160"/>
      </w:pPr>
      <w:r>
        <w:rPr>
          <w:rFonts w:ascii="Arial" w:cs="Arial" w:eastAsia="Arial" w:hAnsi="Arial"/>
          <w:b/>
          <w:bCs/>
          <w:color w:val="004AAC"/>
          <w:sz w:val="26"/>
          <w:szCs w:val="26"/>
        </w:rPr>
        <w:t xml:space="preserve">1.1 Why AI-First Works Here</w:t>
      </w:r>
    </w:p>
    <w:p>
      <w:pPr>
        <w:pStyle w:val="ListParagraph"/>
        <w:numPr>
          <w:ilvl w:val="0"/>
          <w:numId w:val="2"/>
        </w:numPr>
        <w:spacing w:after="80"/>
      </w:pPr>
      <w:r>
        <w:rPr>
          <w:rFonts w:ascii="Arial" w:cs="Arial" w:eastAsia="Arial" w:hAnsi="Arial"/>
          <w:b/>
          <w:bCs/>
          <w:color w:val="0E1020"/>
          <w:sz w:val="20"/>
          <w:szCs w:val="20"/>
        </w:rPr>
        <w:t xml:space="preserve">UI fidelity before plumbing: </w:t>
      </w:r>
      <w:r>
        <w:rPr>
          <w:rFonts w:ascii="Arial" w:cs="Arial" w:eastAsia="Arial" w:hAnsi="Arial"/>
          <w:color w:val="0E1020"/>
          <w:sz w:val="20"/>
          <w:szCs w:val="20"/>
        </w:rPr>
        <w:t xml:space="preserve">AI tools can generate production-quality React components in minutes. The team gets immediate visual feedback and can iterate on layout, interaction patterns, and data display without touching ServiceNow.</w:t>
      </w:r>
    </w:p>
    <w:p>
      <w:pPr>
        <w:pStyle w:val="ListParagraph"/>
        <w:numPr>
          <w:ilvl w:val="0"/>
          <w:numId w:val="2"/>
        </w:numPr>
        <w:spacing w:after="80"/>
      </w:pPr>
      <w:r>
        <w:rPr>
          <w:rFonts w:ascii="Arial" w:cs="Arial" w:eastAsia="Arial" w:hAnsi="Arial"/>
          <w:b/>
          <w:bCs/>
          <w:color w:val="0E1020"/>
          <w:sz w:val="20"/>
          <w:szCs w:val="20"/>
        </w:rPr>
        <w:t xml:space="preserve">Parallel workstreams unlock: </w:t>
      </w:r>
      <w:r>
        <w:rPr>
          <w:rFonts w:ascii="Arial" w:cs="Arial" w:eastAsia="Arial" w:hAnsi="Arial"/>
          <w:color w:val="0E1020"/>
          <w:sz w:val="20"/>
          <w:szCs w:val="20"/>
        </w:rPr>
        <w:t xml:space="preserve">While the UI team generates components with AI, a separate integration team configures ServiceNow tables, flows, and APIs. Both tracks converge in Phase 2.</w:t>
      </w:r>
    </w:p>
    <w:p>
      <w:pPr>
        <w:pStyle w:val="ListParagraph"/>
        <w:numPr>
          <w:ilvl w:val="0"/>
          <w:numId w:val="2"/>
        </w:numPr>
        <w:spacing w:after="80"/>
      </w:pPr>
      <w:r>
        <w:rPr>
          <w:rFonts w:ascii="Arial" w:cs="Arial" w:eastAsia="Arial" w:hAnsi="Arial"/>
          <w:b/>
          <w:bCs/>
          <w:color w:val="0E1020"/>
          <w:sz w:val="20"/>
          <w:szCs w:val="20"/>
        </w:rPr>
        <w:t xml:space="preserve">Prompt-driven iteration: </w:t>
      </w:r>
      <w:r>
        <w:rPr>
          <w:rFonts w:ascii="Arial" w:cs="Arial" w:eastAsia="Arial" w:hAnsi="Arial"/>
          <w:color w:val="0E1020"/>
          <w:sz w:val="20"/>
          <w:szCs w:val="20"/>
        </w:rPr>
        <w:t xml:space="preserve">Each UI component in the BRD maps to a discrete AI prompt. The team can refine a component through conversation with the AI tool rather than manual coding, dramatically reducing cycle time.</w:t>
      </w:r>
    </w:p>
    <w:p>
      <w:pPr>
        <w:pStyle w:val="ListParagraph"/>
        <w:numPr>
          <w:ilvl w:val="0"/>
          <w:numId w:val="2"/>
        </w:numPr>
        <w:spacing w:after="80"/>
      </w:pPr>
      <w:r>
        <w:rPr>
          <w:rFonts w:ascii="Arial" w:cs="Arial" w:eastAsia="Arial" w:hAnsi="Arial"/>
          <w:b/>
          <w:bCs/>
          <w:color w:val="0E1020"/>
          <w:sz w:val="20"/>
          <w:szCs w:val="20"/>
        </w:rPr>
        <w:t xml:space="preserve">Reusable output: </w:t>
      </w:r>
      <w:r>
        <w:rPr>
          <w:rFonts w:ascii="Arial" w:cs="Arial" w:eastAsia="Arial" w:hAnsi="Arial"/>
          <w:color w:val="0E1020"/>
          <w:sz w:val="20"/>
          <w:szCs w:val="20"/>
        </w:rPr>
        <w:t xml:space="preserve">AI-generated components produce clean, well-structured code that maps directly to ServiceNow UI Builder component patterns. The translation from standalone React to ServiceNow custom component is mechanical, not creative.</w:t>
      </w:r>
    </w:p>
    <w:p>
      <w:pPr>
        <w:pStyle w:val="Heading2"/>
        <w:spacing w:before="280" w:after="160"/>
      </w:pPr>
      <w:r>
        <w:rPr>
          <w:rFonts w:ascii="Arial" w:cs="Arial" w:eastAsia="Arial" w:hAnsi="Arial"/>
          <w:b/>
          <w:bCs/>
          <w:color w:val="004AAC"/>
          <w:sz w:val="26"/>
          <w:szCs w:val="26"/>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58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1 (AI Build)</w:t>
            </w:r>
          </w:p>
        </w:tc>
        <w:tc>
          <w:tcPr>
            <w:tcW w:type="dxa" w:w="358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2 (FSO Integration)</w:t>
            </w:r>
          </w:p>
        </w:tc>
      </w:tr>
      <w:tr>
        <w:tc>
          <w:tcPr>
            <w:tcW w:type="dxa" w:w="2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UI Framework</w:t>
            </w:r>
          </w:p>
        </w:tc>
        <w:tc>
          <w:tcPr>
            <w:tcW w:type="dxa" w:w="358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React + Tailwind CSS (AI-generated)</w:t>
            </w:r>
          </w:p>
        </w:tc>
        <w:tc>
          <w:tcPr>
            <w:tcW w:type="dxa" w:w="358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ServiceNow UI Builder + Now Experience Framework</w:t>
            </w:r>
          </w:p>
        </w:tc>
      </w:tr>
      <w:tr>
        <w:tc>
          <w:tcPr>
            <w:tcW w:type="dxa" w:w="2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Component Library</w:t>
            </w:r>
          </w:p>
        </w:tc>
        <w:tc>
          <w:tcPr>
            <w:tcW w:type="dxa" w:w="358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shadcn/ui or custom (AI-generated)</w:t>
            </w:r>
          </w:p>
        </w:tc>
        <w:tc>
          <w:tcPr>
            <w:tcW w:type="dxa" w:w="358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ServiceNow Now Experience Components + custom widgets</w:t>
            </w:r>
          </w:p>
        </w:tc>
      </w:tr>
      <w:tr>
        <w:tc>
          <w:tcPr>
            <w:tcW w:type="dxa" w:w="2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Data Layer</w:t>
            </w:r>
          </w:p>
        </w:tc>
        <w:tc>
          <w:tcPr>
            <w:tcW w:type="dxa" w:w="358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Mock JSON services with realistic sample data</w:t>
            </w:r>
          </w:p>
        </w:tc>
        <w:tc>
          <w:tcPr>
            <w:tcW w:type="dxa" w:w="358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ServiceNow GlideRecord, Scripted REST APIs, Table API</w:t>
            </w:r>
          </w:p>
        </w:tc>
      </w:tr>
      <w:tr>
        <w:tc>
          <w:tcPr>
            <w:tcW w:type="dxa" w:w="2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State Management</w:t>
            </w:r>
          </w:p>
        </w:tc>
        <w:tc>
          <w:tcPr>
            <w:tcW w:type="dxa" w:w="358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React state / context (AI-generated)</w:t>
            </w:r>
          </w:p>
        </w:tc>
        <w:tc>
          <w:tcPr>
            <w:tcW w:type="dxa" w:w="358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ServiceNow UI Builder data resources + client state</w:t>
            </w:r>
          </w:p>
        </w:tc>
      </w:tr>
      <w:tr>
        <w:tc>
          <w:tcPr>
            <w:tcW w:type="dxa" w:w="2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Decision Engine</w:t>
            </w:r>
          </w:p>
        </w:tc>
        <w:tc>
          <w:tcPr>
            <w:tcW w:type="dxa" w:w="358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JavaScript rule evaluator (AI-generated)</w:t>
            </w:r>
          </w:p>
        </w:tc>
        <w:tc>
          <w:tcPr>
            <w:tcW w:type="dxa" w:w="358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ServiceNow Decision Tables or Flow Designer with script steps</w:t>
            </w:r>
          </w:p>
        </w:tc>
      </w:tr>
      <w:tr>
        <w:tc>
          <w:tcPr>
            <w:tcW w:type="dxa" w:w="2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IDP Simulation</w:t>
            </w:r>
          </w:p>
        </w:tc>
        <w:tc>
          <w:tcPr>
            <w:tcW w:type="dxa" w:w="358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Pre-built JSON extraction results with confidence scores</w:t>
            </w:r>
          </w:p>
        </w:tc>
        <w:tc>
          <w:tcPr>
            <w:tcW w:type="dxa" w:w="358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Assure IDP Service API integration</w:t>
            </w:r>
          </w:p>
        </w:tc>
      </w:tr>
    </w:tbl>
    <w:p>
      <w:pPr>
        <w:spacing w:after="120"/>
      </w:pPr>
    </w:p>
    <w:p>
      <w:r>
        <w:br w:type="page"/>
      </w:r>
    </w:p>
    <w:p>
      <w:pPr>
        <w:pStyle w:val="Heading1"/>
        <w:spacing w:before="360" w:after="200"/>
      </w:pPr>
      <w:r>
        <w:rPr>
          <w:rFonts w:ascii="Arial" w:cs="Arial" w:eastAsia="Arial" w:hAnsi="Arial"/>
          <w:b/>
          <w:bCs/>
          <w:color w:val="0E1020"/>
          <w:sz w:val="32"/>
          <w:szCs w:val="32"/>
        </w:rPr>
        <w:t xml:space="preserve">2. Phase 1: AI-Accelerated UI Build (Days 1–3)</w:t>
      </w:r>
    </w:p>
    <w:p>
      <w:pPr>
        <w:spacing w:after="160"/>
      </w:pPr>
      <w:r>
        <w:rPr>
          <w:rFonts w:ascii="Arial" w:cs="Arial" w:eastAsia="Arial" w:hAnsi="Arial"/>
          <w:color w:val="0E1020"/>
          <w:sz w:val="20"/>
          <w:szCs w:val="20"/>
        </w:rPr>
        <w:t xml:space="preserve">Phase 1 is organized as a series of AI prompt sessions, each producing a discrete, testable UI component. The team should work in pairs: one person drives the AI prompt conversation, the other reviews output and prepares mock data. Each session targets a 2–4 hour window including iteration.</w:t>
      </w:r>
    </w:p>
    <w:p>
      <w:pPr>
        <w:pStyle w:val="Heading2"/>
        <w:spacing w:before="280" w:after="160"/>
      </w:pPr>
      <w:r>
        <w:rPr>
          <w:rFonts w:ascii="Arial" w:cs="Arial" w:eastAsia="Arial" w:hAnsi="Arial"/>
          <w:b/>
          <w:bCs/>
          <w:color w:val="004AAC"/>
          <w:sz w:val="26"/>
          <w:szCs w:val="26"/>
        </w:rPr>
        <w:t xml:space="preserve">2.1 Day 1: Foundation + Core Data Entities</w:t>
      </w:r>
    </w:p>
    <w:p>
      <w:pPr>
        <w:spacing w:after="160"/>
      </w:pPr>
      <w:r>
        <w:rPr>
          <w:rFonts w:ascii="Arial" w:cs="Arial" w:eastAsia="Arial" w:hAnsi="Arial"/>
          <w:color w:val="0E1020"/>
          <w:sz w:val="20"/>
          <w:szCs w:val="20"/>
        </w:rPr>
        <w:t xml:space="preserve">Day 1 establishes the mock data layer and builds the two highest-impact components: the IDP extraction panel and the Decision Table Builder. These are the components that demonstrate the framework's intelligence.</w:t>
      </w:r>
    </w:p>
    <w:p>
      <w:pPr>
        <w:pStyle w:val="Heading3"/>
        <w:spacing w:before="200" w:after="120"/>
      </w:pPr>
      <w:r>
        <w:rPr>
          <w:rFonts w:ascii="Arial" w:cs="Arial" w:eastAsia="Arial" w:hAnsi="Arial"/>
          <w:b/>
          <w:bCs/>
          <w:color w:val="0E1020"/>
          <w:sz w:val="22"/>
          <w:szCs w:val="22"/>
        </w:rPr>
        <w:t xml:space="preserve">Session 1A: Mock Data Foundation (2 hours)</w:t>
      </w:r>
    </w:p>
    <w:p>
      <w:pPr>
        <w:spacing w:after="160"/>
      </w:pPr>
      <w:r>
        <w:rPr>
          <w:rFonts w:ascii="Arial" w:cs="Arial" w:eastAsia="Arial" w:hAnsi="Arial"/>
          <w:color w:val="0E1020"/>
          <w:sz w:val="20"/>
          <w:szCs w:val="20"/>
        </w:rPr>
        <w:t xml:space="preserve">Before generating any UI, the team creates the mock data contracts that all components will consume. This is the single most important preparatory step because it ensures all AI-generated components share the same data shapes.</w:t>
      </w:r>
    </w:p>
    <w:p>
      <w:pPr>
        <w:spacing w:after="160"/>
      </w:pPr>
      <w:r>
        <w:rPr>
          <w:rFonts w:ascii="Arial" w:cs="Arial" w:eastAsia="Arial" w:hAnsi="Arial"/>
          <w:b/>
          <w:bCs/>
          <w:color w:val="0E1020"/>
          <w:sz w:val="20"/>
          <w:szCs w:val="20"/>
        </w:rPr>
        <w:t xml:space="preserve">AI Prompt Strategy: </w:t>
      </w:r>
      <w:r>
        <w:rPr>
          <w:rFonts w:ascii="Arial" w:cs="Arial" w:eastAsia="Arial" w:hAnsi="Arial"/>
          <w:color w:val="0E1020"/>
          <w:sz w:val="20"/>
          <w:szCs w:val="20"/>
        </w:rPr>
        <w:t xml:space="preserve">Use Claude to generate TypeScript interfaces and sample JSON for all three entity classes. Provide the entity definitions from the BRD (Section 3) as context and ask Claude to produce realistic sample data for a policy loan scenario and a withdrawal scenario.</w:t>
      </w:r>
    </w:p>
    <w:p>
      <w:pPr>
        <w:pStyle w:val="ListParagraph"/>
        <w:numPr>
          <w:ilvl w:val="0"/>
          <w:numId w:val="2"/>
        </w:numPr>
        <w:spacing w:after="80"/>
      </w:pPr>
      <w:r>
        <w:rPr>
          <w:rFonts w:ascii="Arial" w:cs="Arial" w:eastAsia="Arial" w:hAnsi="Arial"/>
          <w:b/>
          <w:bCs/>
          <w:color w:val="0E1020"/>
          <w:sz w:val="20"/>
          <w:szCs w:val="20"/>
        </w:rPr>
        <w:t xml:space="preserve">Deliverable 1: </w:t>
      </w:r>
      <w:r>
        <w:rPr>
          <w:rFonts w:ascii="Arial" w:cs="Arial" w:eastAsia="Arial" w:hAnsi="Arial"/>
          <w:color w:val="0E1020"/>
          <w:sz w:val="20"/>
          <w:szCs w:val="20"/>
        </w:rPr>
        <w:t xml:space="preserve">TypeScript interface definitions for IDP entities, policy entities, and workflow history entities</w:t>
      </w:r>
    </w:p>
    <w:p>
      <w:pPr>
        <w:pStyle w:val="ListParagraph"/>
        <w:numPr>
          <w:ilvl w:val="0"/>
          <w:numId w:val="2"/>
        </w:numPr>
        <w:spacing w:after="80"/>
      </w:pPr>
      <w:r>
        <w:rPr>
          <w:rFonts w:ascii="Arial" w:cs="Arial" w:eastAsia="Arial" w:hAnsi="Arial"/>
          <w:b/>
          <w:bCs/>
          <w:color w:val="0E1020"/>
          <w:sz w:val="20"/>
          <w:szCs w:val="20"/>
        </w:rPr>
        <w:t xml:space="preserve">Deliverable 2: </w:t>
      </w:r>
      <w:r>
        <w:rPr>
          <w:rFonts w:ascii="Arial" w:cs="Arial" w:eastAsia="Arial" w:hAnsi="Arial"/>
          <w:color w:val="0E1020"/>
          <w:sz w:val="20"/>
          <w:szCs w:val="20"/>
        </w:rPr>
        <w:t xml:space="preserve">Two complete mock data sets: (a) a $25,000 policy loan request against a $200,000 CSV policy, and (b) a $10,000 partial withdrawal from an annuity with a 5% surrender charge</w:t>
      </w:r>
    </w:p>
    <w:p>
      <w:pPr>
        <w:pStyle w:val="ListParagraph"/>
        <w:numPr>
          <w:ilvl w:val="0"/>
          <w:numId w:val="2"/>
        </w:numPr>
        <w:spacing w:after="80"/>
      </w:pPr>
      <w:r>
        <w:rPr>
          <w:rFonts w:ascii="Arial" w:cs="Arial" w:eastAsia="Arial" w:hAnsi="Arial"/>
          <w:b/>
          <w:bCs/>
          <w:color w:val="0E1020"/>
          <w:sz w:val="20"/>
          <w:szCs w:val="20"/>
        </w:rPr>
        <w:t xml:space="preserve">Deliverable 3: </w:t>
      </w:r>
      <w:r>
        <w:rPr>
          <w:rFonts w:ascii="Arial" w:cs="Arial" w:eastAsia="Arial" w:hAnsi="Arial"/>
          <w:color w:val="0E1020"/>
          <w:sz w:val="20"/>
          <w:szCs w:val="20"/>
        </w:rPr>
        <w:t xml:space="preserve">A mock Transaction Type Registry as a JSON configuration file with entries for Loan and Withdrawal, containing IDP template mappings, decision table references, form field layouts, and confidence thresholds</w:t>
      </w:r>
    </w:p>
    <w:p>
      <w:pPr>
        <w:pStyle w:val="ListParagraph"/>
        <w:numPr>
          <w:ilvl w:val="0"/>
          <w:numId w:val="2"/>
        </w:numPr>
        <w:spacing w:after="80"/>
      </w:pPr>
      <w:r>
        <w:rPr>
          <w:rFonts w:ascii="Arial" w:cs="Arial" w:eastAsia="Arial" w:hAnsi="Arial"/>
          <w:b/>
          <w:bCs/>
          <w:color w:val="0E1020"/>
          <w:sz w:val="20"/>
          <w:szCs w:val="20"/>
        </w:rPr>
        <w:t xml:space="preserve">Deliverable 4: </w:t>
      </w:r>
      <w:r>
        <w:rPr>
          <w:rFonts w:ascii="Arial" w:cs="Arial" w:eastAsia="Arial" w:hAnsi="Arial"/>
          <w:color w:val="0E1020"/>
          <w:sz w:val="20"/>
          <w:szCs w:val="20"/>
        </w:rPr>
        <w:t xml:space="preserve">A mock API service layer (simple JavaScript module) that returns the mock data with simulated latency so UI components can be built against realistic async patterns</w:t>
      </w:r>
    </w:p>
    <w:p>
      <w:pPr>
        <w:pStyle w:val="Heading3"/>
        <w:spacing w:before="200" w:after="120"/>
      </w:pPr>
      <w:r>
        <w:rPr>
          <w:rFonts w:ascii="Arial" w:cs="Arial" w:eastAsia="Arial" w:hAnsi="Arial"/>
          <w:b/>
          <w:bCs/>
          <w:color w:val="0E1020"/>
          <w:sz w:val="22"/>
          <w:szCs w:val="22"/>
        </w:rPr>
        <w:t xml:space="preserve">Session 1B: IDP Extraction &amp; Validation Panel (3 hours)</w:t>
      </w:r>
    </w:p>
    <w:p>
      <w:pPr>
        <w:spacing w:after="160"/>
      </w:pPr>
      <w:r>
        <w:rPr>
          <w:rFonts w:ascii="Arial" w:cs="Arial" w:eastAsia="Arial" w:hAnsi="Arial"/>
          <w:color w:val="0E1020"/>
          <w:sz w:val="20"/>
          <w:szCs w:val="20"/>
        </w:rPr>
        <w:t xml:space="preserve">This is BRD Component 2A + 2B combined into a single full-screen experience. The AI-generated component should be a self-contained React application that demonstrates the complete extraction-to-validation flow.</w:t>
      </w:r>
    </w:p>
    <w:p>
      <w:pPr>
        <w:spacing w:after="160"/>
      </w:pPr>
      <w:r>
        <w:rPr>
          <w:rFonts w:ascii="Arial" w:cs="Arial" w:eastAsia="Arial" w:hAnsi="Arial"/>
          <w:b/>
          <w:bCs/>
          <w:color w:val="0E1020"/>
          <w:sz w:val="20"/>
          <w:szCs w:val="20"/>
        </w:rPr>
        <w:t xml:space="preserve">AI Prompt Strategy: </w:t>
      </w:r>
      <w:r>
        <w:rPr>
          <w:rFonts w:ascii="Arial" w:cs="Arial" w:eastAsia="Arial" w:hAnsi="Arial"/>
          <w:color w:val="0E1020"/>
          <w:sz w:val="20"/>
          <w:szCs w:val="20"/>
        </w:rPr>
        <w:t xml:space="preserve">Feed Claude the BRD component specifications for 2A and 2B. Ask it to build a split-pane layout with a document image viewer on the left and an entity extraction panel on the right. Provide the mock IDP entity data as context. Iterate on confidence score visualization, field highlighting, and the cross-reference badges that show match/mismatch against policy data.</w:t>
      </w:r>
    </w:p>
    <w:p>
      <w:pPr>
        <w:spacing w:after="160"/>
      </w:pPr>
      <w:r>
        <w:rPr>
          <w:rFonts w:ascii="Arial" w:cs="Arial" w:eastAsia="Arial" w:hAnsi="Arial"/>
          <w:b/>
          <w:bCs/>
          <w:color w:val="0E1020"/>
          <w:sz w:val="20"/>
          <w:szCs w:val="20"/>
        </w:rPr>
        <w:t xml:space="preserve">Key UI Elements to Generate:</w:t>
      </w:r>
    </w:p>
    <w:p>
      <w:pPr>
        <w:pStyle w:val="ListParagraph"/>
        <w:numPr>
          <w:ilvl w:val="0"/>
          <w:numId w:val="3"/>
        </w:numPr>
        <w:spacing w:after="80"/>
      </w:pPr>
      <w:r>
        <w:rPr>
          <w:rFonts w:ascii="Arial" w:cs="Arial" w:eastAsia="Arial" w:hAnsi="Arial"/>
          <w:color w:val="0E1020"/>
          <w:sz w:val="20"/>
          <w:szCs w:val="20"/>
        </w:rPr>
        <w:t xml:space="preserve">Split-pane container with resizable divider</w:t>
      </w:r>
    </w:p>
    <w:p>
      <w:pPr>
        <w:pStyle w:val="ListParagraph"/>
        <w:numPr>
          <w:ilvl w:val="0"/>
          <w:numId w:val="3"/>
        </w:numPr>
        <w:spacing w:after="80"/>
      </w:pPr>
      <w:r>
        <w:rPr>
          <w:rFonts w:ascii="Arial" w:cs="Arial" w:eastAsia="Arial" w:hAnsi="Arial"/>
          <w:color w:val="0E1020"/>
          <w:sz w:val="20"/>
          <w:szCs w:val="20"/>
        </w:rPr>
        <w:t xml:space="preserve">Document viewer panel (use a sample loan form image or PDF)</w:t>
      </w:r>
    </w:p>
    <w:p>
      <w:pPr>
        <w:pStyle w:val="ListParagraph"/>
        <w:numPr>
          <w:ilvl w:val="0"/>
          <w:numId w:val="3"/>
        </w:numPr>
        <w:spacing w:after="80"/>
      </w:pPr>
      <w:r>
        <w:rPr>
          <w:rFonts w:ascii="Arial" w:cs="Arial" w:eastAsia="Arial" w:hAnsi="Arial"/>
          <w:color w:val="0E1020"/>
          <w:sz w:val="20"/>
          <w:szCs w:val="20"/>
        </w:rPr>
        <w:t xml:space="preserve">Entity list with field name, extracted value, confidence badge (green/yellow/red gradient), and inline edit capability</w:t>
      </w:r>
    </w:p>
    <w:p>
      <w:pPr>
        <w:pStyle w:val="ListParagraph"/>
        <w:numPr>
          <w:ilvl w:val="0"/>
          <w:numId w:val="3"/>
        </w:numPr>
        <w:spacing w:after="80"/>
      </w:pPr>
      <w:r>
        <w:rPr>
          <w:rFonts w:ascii="Arial" w:cs="Arial" w:eastAsia="Arial" w:hAnsi="Arial"/>
          <w:color w:val="0E1020"/>
          <w:sz w:val="20"/>
          <w:szCs w:val="20"/>
        </w:rPr>
        <w:t xml:space="preserve">Cross-reference column showing comparison to policy entity values (match icon, mismatch warning, not-available indicator)</w:t>
      </w:r>
    </w:p>
    <w:p>
      <w:pPr>
        <w:pStyle w:val="ListParagraph"/>
        <w:numPr>
          <w:ilvl w:val="0"/>
          <w:numId w:val="3"/>
        </w:numPr>
        <w:spacing w:after="80"/>
      </w:pPr>
      <w:r>
        <w:rPr>
          <w:rFonts w:ascii="Arial" w:cs="Arial" w:eastAsia="Arial" w:hAnsi="Arial"/>
          <w:color w:val="0E1020"/>
          <w:sz w:val="20"/>
          <w:szCs w:val="20"/>
        </w:rPr>
        <w:t xml:space="preserve">Grouped form sections: Identity, Financial, Payment, Tax (driven by Transaction Type Registry layout config)</w:t>
      </w:r>
    </w:p>
    <w:p>
      <w:pPr>
        <w:pStyle w:val="ListParagraph"/>
        <w:numPr>
          <w:ilvl w:val="0"/>
          <w:numId w:val="3"/>
        </w:numPr>
        <w:spacing w:after="80"/>
      </w:pPr>
      <w:r>
        <w:rPr>
          <w:rFonts w:ascii="Arial" w:cs="Arial" w:eastAsia="Arial" w:hAnsi="Arial"/>
          <w:color w:val="0E1020"/>
          <w:sz w:val="20"/>
          <w:szCs w:val="20"/>
        </w:rPr>
        <w:t xml:space="preserve">Bulk approve button for all fields above confidence threshold</w:t>
      </w:r>
    </w:p>
    <w:p>
      <w:pPr>
        <w:pStyle w:val="ListParagraph"/>
        <w:numPr>
          <w:ilvl w:val="0"/>
          <w:numId w:val="3"/>
        </w:numPr>
        <w:spacing w:after="80"/>
      </w:pPr>
      <w:r>
        <w:rPr>
          <w:rFonts w:ascii="Arial" w:cs="Arial" w:eastAsia="Arial" w:hAnsi="Arial"/>
          <w:color w:val="0E1020"/>
          <w:sz w:val="20"/>
          <w:szCs w:val="20"/>
        </w:rPr>
        <w:t xml:space="preserve">Field-level accept/reject/edit actions with correction logging</w:t>
      </w:r>
    </w:p>
    <w:p>
      <w:pPr>
        <w:pStyle w:val="ListParagraph"/>
        <w:numPr>
          <w:ilvl w:val="0"/>
          <w:numId w:val="3"/>
        </w:numPr>
        <w:spacing w:after="80"/>
      </w:pPr>
      <w:r>
        <w:rPr>
          <w:rFonts w:ascii="Arial" w:cs="Arial" w:eastAsia="Arial" w:hAnsi="Arial"/>
          <w:color w:val="0E1020"/>
          <w:sz w:val="20"/>
          <w:szCs w:val="20"/>
        </w:rPr>
        <w:t xml:space="preserve">Validation progress bar showing percentage of fields confirmed</w:t>
      </w:r>
    </w:p>
    <w:p>
      <w:pPr>
        <w:spacing w:after="160"/>
      </w:pPr>
      <w:r>
        <w:rPr>
          <w:rFonts w:ascii="Arial" w:cs="Arial" w:eastAsia="Arial" w:hAnsi="Arial"/>
          <w:b/>
          <w:bCs/>
          <w:color w:val="0E1020"/>
          <w:sz w:val="20"/>
          <w:szCs w:val="20"/>
        </w:rPr>
        <w:t xml:space="preserve">Definition of Done: </w:t>
      </w:r>
      <w:r>
        <w:rPr>
          <w:rFonts w:ascii="Arial" w:cs="Arial" w:eastAsia="Arial" w:hAnsi="Arial"/>
          <w:color w:val="0E1020"/>
          <w:sz w:val="20"/>
          <w:szCs w:val="20"/>
        </w:rPr>
        <w:t xml:space="preserve">A working React component that displays realistic loan form extraction data with confidence scoring, allows field-by-field validation with corrections, and shows the cross-reference comparison to policy data. Clicking 'Complete Validation' transitions to a summary state.</w:t>
      </w:r>
    </w:p>
    <w:p>
      <w:pPr>
        <w:pStyle w:val="Heading3"/>
        <w:spacing w:before="200" w:after="120"/>
      </w:pPr>
      <w:r>
        <w:rPr>
          <w:rFonts w:ascii="Arial" w:cs="Arial" w:eastAsia="Arial" w:hAnsi="Arial"/>
          <w:b/>
          <w:bCs/>
          <w:color w:val="0E1020"/>
          <w:sz w:val="22"/>
          <w:szCs w:val="22"/>
        </w:rPr>
        <w:t xml:space="preserve">Session 1C: Decision Table Builder UI (4 hours)</w:t>
      </w:r>
    </w:p>
    <w:p>
      <w:pPr>
        <w:spacing w:after="160"/>
      </w:pPr>
      <w:r>
        <w:rPr>
          <w:rFonts w:ascii="Arial" w:cs="Arial" w:eastAsia="Arial" w:hAnsi="Arial"/>
          <w:color w:val="0E1020"/>
          <w:sz w:val="20"/>
          <w:szCs w:val="20"/>
        </w:rPr>
        <w:t xml:space="preserve">This is the centerpiece demo component (BRD Component 3A). The hackathon team should invest the most AI iteration time here because this is the component that demonstrates configurability and reusability to executives.</w:t>
      </w:r>
    </w:p>
    <w:p>
      <w:pPr>
        <w:spacing w:after="160"/>
      </w:pPr>
      <w:r>
        <w:rPr>
          <w:rFonts w:ascii="Arial" w:cs="Arial" w:eastAsia="Arial" w:hAnsi="Arial"/>
          <w:b/>
          <w:bCs/>
          <w:color w:val="0E1020"/>
          <w:sz w:val="20"/>
          <w:szCs w:val="20"/>
        </w:rPr>
        <w:t xml:space="preserve">AI Prompt Strategy: </w:t>
      </w:r>
      <w:r>
        <w:rPr>
          <w:rFonts w:ascii="Arial" w:cs="Arial" w:eastAsia="Arial" w:hAnsi="Arial"/>
          <w:color w:val="0E1020"/>
          <w:sz w:val="20"/>
          <w:szCs w:val="20"/>
        </w:rPr>
        <w:t xml:space="preserve">This component is complex enough that it should be built in three sub-prompts, each generating a panel of the three-panel layout. Then a final integration prompt combines them. Provide Claude with the full BRD Section 4.3 as context.</w:t>
      </w:r>
    </w:p>
    <w:p>
      <w:pPr>
        <w:spacing w:after="160"/>
      </w:pPr>
      <w:r>
        <w:rPr>
          <w:rFonts w:ascii="Arial" w:cs="Arial" w:eastAsia="Arial" w:hAnsi="Arial"/>
          <w:b/>
          <w:bCs/>
          <w:color w:val="0E1020"/>
          <w:sz w:val="20"/>
          <w:szCs w:val="20"/>
        </w:rPr>
        <w:t xml:space="preserve">Sub-prompt 1 — Entity Selector Panel (left):</w:t>
      </w:r>
    </w:p>
    <w:p>
      <w:pPr>
        <w:pStyle w:val="ListParagraph"/>
        <w:numPr>
          <w:ilvl w:val="0"/>
          <w:numId w:val="3"/>
        </w:numPr>
        <w:spacing w:after="80"/>
      </w:pPr>
      <w:r>
        <w:rPr>
          <w:rFonts w:ascii="Arial" w:cs="Arial" w:eastAsia="Arial" w:hAnsi="Arial"/>
          <w:color w:val="0E1020"/>
          <w:sz w:val="20"/>
          <w:szCs w:val="20"/>
        </w:rPr>
        <w:t xml:space="preserve">Three collapsible accordion sections: IDP Entities, Policy Entities, Workflow History Entities</w:t>
      </w:r>
    </w:p>
    <w:p>
      <w:pPr>
        <w:pStyle w:val="ListParagraph"/>
        <w:numPr>
          <w:ilvl w:val="0"/>
          <w:numId w:val="3"/>
        </w:numPr>
        <w:spacing w:after="80"/>
      </w:pPr>
      <w:r>
        <w:rPr>
          <w:rFonts w:ascii="Arial" w:cs="Arial" w:eastAsia="Arial" w:hAnsi="Arial"/>
          <w:color w:val="0E1020"/>
          <w:sz w:val="20"/>
          <w:szCs w:val="20"/>
        </w:rPr>
        <w:t xml:space="preserve">Each section lists available fields from the mock data interfaces with data type indicators (string, number, boolean, date)</w:t>
      </w:r>
    </w:p>
    <w:p>
      <w:pPr>
        <w:pStyle w:val="ListParagraph"/>
        <w:numPr>
          <w:ilvl w:val="0"/>
          <w:numId w:val="3"/>
        </w:numPr>
        <w:spacing w:after="80"/>
      </w:pPr>
      <w:r>
        <w:rPr>
          <w:rFonts w:ascii="Arial" w:cs="Arial" w:eastAsia="Arial" w:hAnsi="Arial"/>
          <w:color w:val="0E1020"/>
          <w:sz w:val="20"/>
          <w:szCs w:val="20"/>
        </w:rPr>
        <w:t xml:space="preserve">Drag handles on each field for drag-and-drop into the rule grid</w:t>
      </w:r>
    </w:p>
    <w:p>
      <w:pPr>
        <w:pStyle w:val="ListParagraph"/>
        <w:numPr>
          <w:ilvl w:val="0"/>
          <w:numId w:val="3"/>
        </w:numPr>
        <w:spacing w:after="80"/>
      </w:pPr>
      <w:r>
        <w:rPr>
          <w:rFonts w:ascii="Arial" w:cs="Arial" w:eastAsia="Arial" w:hAnsi="Arial"/>
          <w:color w:val="0E1020"/>
          <w:sz w:val="20"/>
          <w:szCs w:val="20"/>
        </w:rPr>
        <w:t xml:space="preserve">Search/filter bar at the top to find fields across all three entity pools</w:t>
      </w:r>
    </w:p>
    <w:p>
      <w:pPr>
        <w:pStyle w:val="ListParagraph"/>
        <w:numPr>
          <w:ilvl w:val="0"/>
          <w:numId w:val="3"/>
        </w:numPr>
        <w:spacing w:after="80"/>
      </w:pPr>
      <w:r>
        <w:rPr>
          <w:rFonts w:ascii="Arial" w:cs="Arial" w:eastAsia="Arial" w:hAnsi="Arial"/>
          <w:color w:val="0E1020"/>
          <w:sz w:val="20"/>
          <w:szCs w:val="20"/>
        </w:rPr>
        <w:t xml:space="preserve">Visual distinction between entity classes using color coding (e.g., blue chips for IDP, green for policy, gold for workflow)</w:t>
      </w:r>
    </w:p>
    <w:p>
      <w:pPr>
        <w:spacing w:after="160"/>
      </w:pPr>
      <w:r>
        <w:rPr>
          <w:rFonts w:ascii="Arial" w:cs="Arial" w:eastAsia="Arial" w:hAnsi="Arial"/>
          <w:b/>
          <w:bCs/>
          <w:color w:val="0E1020"/>
          <w:sz w:val="20"/>
          <w:szCs w:val="20"/>
        </w:rPr>
        <w:t xml:space="preserve">Sub-prompt 2 — Decision Table Canvas (center):</w:t>
      </w:r>
    </w:p>
    <w:p>
      <w:pPr>
        <w:pStyle w:val="ListParagraph"/>
        <w:numPr>
          <w:ilvl w:val="0"/>
          <w:numId w:val="3"/>
        </w:numPr>
        <w:spacing w:after="80"/>
      </w:pPr>
      <w:r>
        <w:rPr>
          <w:rFonts w:ascii="Arial" w:cs="Arial" w:eastAsia="Arial" w:hAnsi="Arial"/>
          <w:color w:val="0E1020"/>
          <w:sz w:val="20"/>
          <w:szCs w:val="20"/>
        </w:rPr>
        <w:t xml:space="preserve">Spreadsheet-style grid where columns are dynamically added when fields are dragged from the entity selector</w:t>
      </w:r>
    </w:p>
    <w:p>
      <w:pPr>
        <w:pStyle w:val="ListParagraph"/>
        <w:numPr>
          <w:ilvl w:val="0"/>
          <w:numId w:val="3"/>
        </w:numPr>
        <w:spacing w:after="80"/>
      </w:pPr>
      <w:r>
        <w:rPr>
          <w:rFonts w:ascii="Arial" w:cs="Arial" w:eastAsia="Arial" w:hAnsi="Arial"/>
          <w:color w:val="0E1020"/>
          <w:sz w:val="20"/>
          <w:szCs w:val="20"/>
        </w:rPr>
        <w:t xml:space="preserve">Each column header shows field name, entity source badge, and a remove button</w:t>
      </w:r>
    </w:p>
    <w:p>
      <w:pPr>
        <w:pStyle w:val="ListParagraph"/>
        <w:numPr>
          <w:ilvl w:val="0"/>
          <w:numId w:val="3"/>
        </w:numPr>
        <w:spacing w:after="80"/>
      </w:pPr>
      <w:r>
        <w:rPr>
          <w:rFonts w:ascii="Arial" w:cs="Arial" w:eastAsia="Arial" w:hAnsi="Arial"/>
          <w:color w:val="0E1020"/>
          <w:sz w:val="20"/>
          <w:szCs w:val="20"/>
        </w:rPr>
        <w:t xml:space="preserve">Each cell contains an operator dropdown (equals, &gt;, &lt;, between, contains, is blank, is not blank) and a value input</w:t>
      </w:r>
    </w:p>
    <w:p>
      <w:pPr>
        <w:pStyle w:val="ListParagraph"/>
        <w:numPr>
          <w:ilvl w:val="0"/>
          <w:numId w:val="3"/>
        </w:numPr>
        <w:spacing w:after="80"/>
      </w:pPr>
      <w:r>
        <w:rPr>
          <w:rFonts w:ascii="Arial" w:cs="Arial" w:eastAsia="Arial" w:hAnsi="Arial"/>
          <w:color w:val="0E1020"/>
          <w:sz w:val="20"/>
          <w:szCs w:val="20"/>
        </w:rPr>
        <w:t xml:space="preserve">The rightmost column is always 'Output: Touch Level' with a dropdown (STP, Low Touch, Moderate Touch, High Touch) color-coded to match the framework</w:t>
      </w:r>
    </w:p>
    <w:p>
      <w:pPr>
        <w:pStyle w:val="ListParagraph"/>
        <w:numPr>
          <w:ilvl w:val="0"/>
          <w:numId w:val="3"/>
        </w:numPr>
        <w:spacing w:after="80"/>
      </w:pPr>
      <w:r>
        <w:rPr>
          <w:rFonts w:ascii="Arial" w:cs="Arial" w:eastAsia="Arial" w:hAnsi="Arial"/>
          <w:color w:val="0E1020"/>
          <w:sz w:val="20"/>
          <w:szCs w:val="20"/>
        </w:rPr>
        <w:t xml:space="preserve">Row controls: add row above/below, delete row, drag to reorder</w:t>
      </w:r>
    </w:p>
    <w:p>
      <w:pPr>
        <w:pStyle w:val="ListParagraph"/>
        <w:numPr>
          <w:ilvl w:val="0"/>
          <w:numId w:val="3"/>
        </w:numPr>
        <w:spacing w:after="80"/>
      </w:pPr>
      <w:r>
        <w:rPr>
          <w:rFonts w:ascii="Arial" w:cs="Arial" w:eastAsia="Arial" w:hAnsi="Arial"/>
          <w:color w:val="0E1020"/>
          <w:sz w:val="20"/>
          <w:szCs w:val="20"/>
        </w:rPr>
        <w:t xml:space="preserve">A required 'Default' row pinned to the bottom that catches all unmatched cases</w:t>
      </w:r>
    </w:p>
    <w:p>
      <w:pPr>
        <w:pStyle w:val="ListParagraph"/>
        <w:numPr>
          <w:ilvl w:val="0"/>
          <w:numId w:val="3"/>
        </w:numPr>
        <w:spacing w:after="80"/>
      </w:pPr>
      <w:r>
        <w:rPr>
          <w:rFonts w:ascii="Arial" w:cs="Arial" w:eastAsia="Arial" w:hAnsi="Arial"/>
          <w:color w:val="0E1020"/>
          <w:sz w:val="20"/>
          <w:szCs w:val="20"/>
        </w:rPr>
        <w:t xml:space="preserve">Seed the table with the example loan decision table from the BRD</w:t>
      </w:r>
    </w:p>
    <w:p>
      <w:pPr>
        <w:spacing w:after="160"/>
      </w:pPr>
      <w:r>
        <w:rPr>
          <w:rFonts w:ascii="Arial" w:cs="Arial" w:eastAsia="Arial" w:hAnsi="Arial"/>
          <w:b/>
          <w:bCs/>
          <w:color w:val="0E1020"/>
          <w:sz w:val="20"/>
          <w:szCs w:val="20"/>
        </w:rPr>
        <w:t xml:space="preserve">Sub-prompt 3 — Test Harness Panel (right):</w:t>
      </w:r>
    </w:p>
    <w:p>
      <w:pPr>
        <w:pStyle w:val="ListParagraph"/>
        <w:numPr>
          <w:ilvl w:val="0"/>
          <w:numId w:val="3"/>
        </w:numPr>
        <w:spacing w:after="80"/>
      </w:pPr>
      <w:r>
        <w:rPr>
          <w:rFonts w:ascii="Arial" w:cs="Arial" w:eastAsia="Arial" w:hAnsi="Arial"/>
          <w:color w:val="0E1020"/>
          <w:sz w:val="20"/>
          <w:szCs w:val="20"/>
        </w:rPr>
        <w:t xml:space="preserve">Input form with fields matching all columns currently in the decision table</w:t>
      </w:r>
    </w:p>
    <w:p>
      <w:pPr>
        <w:pStyle w:val="ListParagraph"/>
        <w:numPr>
          <w:ilvl w:val="0"/>
          <w:numId w:val="3"/>
        </w:numPr>
        <w:spacing w:after="80"/>
      </w:pPr>
      <w:r>
        <w:rPr>
          <w:rFonts w:ascii="Arial" w:cs="Arial" w:eastAsia="Arial" w:hAnsi="Arial"/>
          <w:color w:val="0E1020"/>
          <w:sz w:val="20"/>
          <w:szCs w:val="20"/>
        </w:rPr>
        <w:t xml:space="preserve">'Evaluate' button that runs the test inputs against the rules top-to-bottom</w:t>
      </w:r>
    </w:p>
    <w:p>
      <w:pPr>
        <w:pStyle w:val="ListParagraph"/>
        <w:numPr>
          <w:ilvl w:val="0"/>
          <w:numId w:val="3"/>
        </w:numPr>
        <w:spacing w:after="80"/>
      </w:pPr>
      <w:r>
        <w:rPr>
          <w:rFonts w:ascii="Arial" w:cs="Arial" w:eastAsia="Arial" w:hAnsi="Arial"/>
          <w:color w:val="0E1020"/>
          <w:sz w:val="20"/>
          <w:szCs w:val="20"/>
        </w:rPr>
        <w:t xml:space="preserve">Result display showing: matched rule number (highlighted in the grid), output touch level with color badge, and evaluation path (each rule shows pass/fail per condition)</w:t>
      </w:r>
    </w:p>
    <w:p>
      <w:pPr>
        <w:pStyle w:val="ListParagraph"/>
        <w:numPr>
          <w:ilvl w:val="0"/>
          <w:numId w:val="3"/>
        </w:numPr>
        <w:spacing w:after="80"/>
      </w:pPr>
      <w:r>
        <w:rPr>
          <w:rFonts w:ascii="Arial" w:cs="Arial" w:eastAsia="Arial" w:hAnsi="Arial"/>
          <w:color w:val="0E1020"/>
          <w:sz w:val="20"/>
          <w:szCs w:val="20"/>
        </w:rPr>
        <w:t xml:space="preserve">'Load from Case' button that populates inputs from a mock case record</w:t>
      </w:r>
    </w:p>
    <w:p>
      <w:pPr>
        <w:pStyle w:val="ListParagraph"/>
        <w:numPr>
          <w:ilvl w:val="0"/>
          <w:numId w:val="3"/>
        </w:numPr>
        <w:spacing w:after="80"/>
      </w:pPr>
      <w:r>
        <w:rPr>
          <w:rFonts w:ascii="Arial" w:cs="Arial" w:eastAsia="Arial" w:hAnsi="Arial"/>
          <w:color w:val="0E1020"/>
          <w:sz w:val="20"/>
          <w:szCs w:val="20"/>
        </w:rPr>
        <w:t xml:space="preserve">History of recent test runs for comparison</w:t>
      </w:r>
    </w:p>
    <w:p>
      <w:pPr>
        <w:spacing w:after="160"/>
      </w:pPr>
      <w:r>
        <w:rPr>
          <w:rFonts w:ascii="Arial" w:cs="Arial" w:eastAsia="Arial" w:hAnsi="Arial"/>
          <w:b/>
          <w:bCs/>
          <w:color w:val="0E1020"/>
          <w:sz w:val="20"/>
          <w:szCs w:val="20"/>
        </w:rPr>
        <w:t xml:space="preserve">Integration Prompt: </w:t>
      </w:r>
      <w:r>
        <w:rPr>
          <w:rFonts w:ascii="Arial" w:cs="Arial" w:eastAsia="Arial" w:hAnsi="Arial"/>
          <w:color w:val="0E1020"/>
          <w:sz w:val="20"/>
          <w:szCs w:val="20"/>
        </w:rPr>
        <w:t xml:space="preserve">Combine all three panels into a single component with a header bar showing the decision table name, transaction type selector (to switch between Loan and Withdrawal tables), and save/publish actions.</w:t>
      </w:r>
    </w:p>
    <w:p>
      <w:pPr>
        <w:spacing w:after="160"/>
      </w:pPr>
      <w:r>
        <w:rPr>
          <w:rFonts w:ascii="Arial" w:cs="Arial" w:eastAsia="Arial" w:hAnsi="Arial"/>
          <w:b/>
          <w:bCs/>
          <w:color w:val="0E1020"/>
          <w:sz w:val="20"/>
          <w:szCs w:val="20"/>
        </w:rPr>
        <w:t xml:space="preserve">Definition of Done: </w:t>
      </w:r>
      <w:r>
        <w:rPr>
          <w:rFonts w:ascii="Arial" w:cs="Arial" w:eastAsia="Arial" w:hAnsi="Arial"/>
          <w:color w:val="0E1020"/>
          <w:sz w:val="20"/>
          <w:szCs w:val="20"/>
        </w:rPr>
        <w:t xml:space="preserve">A working React application where a user can drag entity fields into a decision table, configure rules with operators and values, test the table with sample inputs, and see the triage result. Switching between the Loan and Withdrawal transaction types loads different pre-configured tables and entity schemas.</w:t>
      </w:r>
    </w:p>
    <w:p>
      <w:r>
        <w:br w:type="page"/>
      </w:r>
    </w:p>
    <w:p>
      <w:pPr>
        <w:pStyle w:val="Heading2"/>
        <w:spacing w:before="280" w:after="160"/>
      </w:pPr>
      <w:r>
        <w:rPr>
          <w:rFonts w:ascii="Arial" w:cs="Arial" w:eastAsia="Arial" w:hAnsi="Arial"/>
          <w:b/>
          <w:bCs/>
          <w:color w:val="004AAC"/>
          <w:sz w:val="26"/>
          <w:szCs w:val="26"/>
        </w:rPr>
        <w:t xml:space="preserve">2.2 Day 2: Processing Workspaces + Intake</w:t>
      </w:r>
    </w:p>
    <w:p>
      <w:pPr>
        <w:spacing w:after="160"/>
      </w:pPr>
      <w:r>
        <w:rPr>
          <w:rFonts w:ascii="Arial" w:cs="Arial" w:eastAsia="Arial" w:hAnsi="Arial"/>
          <w:color w:val="0E1020"/>
          <w:sz w:val="20"/>
          <w:szCs w:val="20"/>
        </w:rPr>
        <w:t xml:space="preserve">Day 2 builds the three touch-level processing workspaces and the case intake/document landing components. These are more straightforward UI layouts that benefit from AI generation speed.</w:t>
      </w:r>
    </w:p>
    <w:p>
      <w:pPr>
        <w:pStyle w:val="Heading3"/>
        <w:spacing w:before="200" w:after="120"/>
      </w:pPr>
      <w:r>
        <w:rPr>
          <w:rFonts w:ascii="Arial" w:cs="Arial" w:eastAsia="Arial" w:hAnsi="Arial"/>
          <w:b/>
          <w:bCs/>
          <w:color w:val="0E1020"/>
          <w:sz w:val="22"/>
          <w:szCs w:val="22"/>
        </w:rPr>
        <w:t xml:space="preserve">Session 2A: Low-Touch Workspace (2 hours)</w:t>
      </w:r>
    </w:p>
    <w:p>
      <w:pPr>
        <w:spacing w:after="160"/>
      </w:pPr>
      <w:r>
        <w:rPr>
          <w:rFonts w:ascii="Arial" w:cs="Arial" w:eastAsia="Arial" w:hAnsi="Arial"/>
          <w:b/>
          <w:bCs/>
          <w:color w:val="0E1020"/>
          <w:sz w:val="20"/>
          <w:szCs w:val="20"/>
        </w:rPr>
        <w:t xml:space="preserve">AI Prompt Strategy: </w:t>
      </w:r>
      <w:r>
        <w:rPr>
          <w:rFonts w:ascii="Arial" w:cs="Arial" w:eastAsia="Arial" w:hAnsi="Arial"/>
          <w:color w:val="0E1020"/>
          <w:sz w:val="20"/>
          <w:szCs w:val="20"/>
        </w:rPr>
        <w:t xml:space="preserve">Ask Claude to generate a clean approval dashboard. Provide the mock loan data and tell it this is for a high-confidence transaction that just needs a single click to approve.</w:t>
      </w:r>
    </w:p>
    <w:p>
      <w:pPr>
        <w:pStyle w:val="ListParagraph"/>
        <w:numPr>
          <w:ilvl w:val="0"/>
          <w:numId w:val="3"/>
        </w:numPr>
        <w:spacing w:after="80"/>
      </w:pPr>
      <w:r>
        <w:rPr>
          <w:rFonts w:ascii="Arial" w:cs="Arial" w:eastAsia="Arial" w:hAnsi="Arial"/>
          <w:color w:val="0E1020"/>
          <w:sz w:val="20"/>
          <w:szCs w:val="20"/>
        </w:rPr>
        <w:t xml:space="preserve">Full-width transaction summary card with all validated IDP fields grouped logically</w:t>
      </w:r>
    </w:p>
    <w:p>
      <w:pPr>
        <w:pStyle w:val="ListParagraph"/>
        <w:numPr>
          <w:ilvl w:val="0"/>
          <w:numId w:val="3"/>
        </w:numPr>
        <w:spacing w:after="80"/>
      </w:pPr>
      <w:r>
        <w:rPr>
          <w:rFonts w:ascii="Arial" w:cs="Arial" w:eastAsia="Arial" w:hAnsi="Arial"/>
          <w:color w:val="0E1020"/>
          <w:sz w:val="20"/>
          <w:szCs w:val="20"/>
        </w:rPr>
        <w:t xml:space="preserve">Policy snapshot sidebar: key policy data points (status, CSV, loan balance, max available)</w:t>
      </w:r>
    </w:p>
    <w:p>
      <w:pPr>
        <w:pStyle w:val="ListParagraph"/>
        <w:numPr>
          <w:ilvl w:val="0"/>
          <w:numId w:val="3"/>
        </w:numPr>
        <w:spacing w:after="80"/>
      </w:pPr>
      <w:r>
        <w:rPr>
          <w:rFonts w:ascii="Arial" w:cs="Arial" w:eastAsia="Arial" w:hAnsi="Arial"/>
          <w:color w:val="0E1020"/>
          <w:sz w:val="20"/>
          <w:szCs w:val="20"/>
        </w:rPr>
        <w:t xml:space="preserve">Calculated financial summary: net loan amount, interest rate, projected loan balance, monthly payment impact</w:t>
      </w:r>
    </w:p>
    <w:p>
      <w:pPr>
        <w:pStyle w:val="ListParagraph"/>
        <w:numPr>
          <w:ilvl w:val="0"/>
          <w:numId w:val="3"/>
        </w:numPr>
        <w:spacing w:after="80"/>
      </w:pPr>
      <w:r>
        <w:rPr>
          <w:rFonts w:ascii="Arial" w:cs="Arial" w:eastAsia="Arial" w:hAnsi="Arial"/>
          <w:color w:val="0E1020"/>
          <w:sz w:val="20"/>
          <w:szCs w:val="20"/>
        </w:rPr>
        <w:t xml:space="preserve">Triage Decision Summary Card at top (from BRD Component 3C) showing why this was routed to low-touch</w:t>
      </w:r>
    </w:p>
    <w:p>
      <w:pPr>
        <w:pStyle w:val="ListParagraph"/>
        <w:numPr>
          <w:ilvl w:val="0"/>
          <w:numId w:val="3"/>
        </w:numPr>
        <w:spacing w:after="80"/>
      </w:pPr>
      <w:r>
        <w:rPr>
          <w:rFonts w:ascii="Arial" w:cs="Arial" w:eastAsia="Arial" w:hAnsi="Arial"/>
          <w:color w:val="0E1020"/>
          <w:sz w:val="20"/>
          <w:szCs w:val="20"/>
        </w:rPr>
        <w:t xml:space="preserve">Three action buttons: Approve (green, primary), Reject (red, secondary), Override/Escalate (gold, tertiary)</w:t>
      </w:r>
    </w:p>
    <w:p>
      <w:pPr>
        <w:pStyle w:val="ListParagraph"/>
        <w:numPr>
          <w:ilvl w:val="0"/>
          <w:numId w:val="3"/>
        </w:numPr>
        <w:spacing w:after="80"/>
      </w:pPr>
      <w:r>
        <w:rPr>
          <w:rFonts w:ascii="Arial" w:cs="Arial" w:eastAsia="Arial" w:hAnsi="Arial"/>
          <w:color w:val="0E1020"/>
          <w:sz w:val="20"/>
          <w:szCs w:val="20"/>
        </w:rPr>
        <w:t xml:space="preserve">Approval triggers a confirmation modal with transaction summary and admin system submission preview</w:t>
      </w:r>
    </w:p>
    <w:p>
      <w:pPr>
        <w:pStyle w:val="Heading3"/>
        <w:spacing w:before="200" w:after="120"/>
      </w:pPr>
      <w:r>
        <w:rPr>
          <w:rFonts w:ascii="Arial" w:cs="Arial" w:eastAsia="Arial" w:hAnsi="Arial"/>
          <w:b/>
          <w:bCs/>
          <w:color w:val="0E1020"/>
          <w:sz w:val="22"/>
          <w:szCs w:val="22"/>
        </w:rPr>
        <w:t xml:space="preserve">Session 2B: Moderate-Touch Workspace (2.5 hours)</w:t>
      </w:r>
    </w:p>
    <w:p>
      <w:pPr>
        <w:spacing w:after="160"/>
      </w:pPr>
      <w:r>
        <w:rPr>
          <w:rFonts w:ascii="Arial" w:cs="Arial" w:eastAsia="Arial" w:hAnsi="Arial"/>
          <w:b/>
          <w:bCs/>
          <w:color w:val="0E1020"/>
          <w:sz w:val="20"/>
          <w:szCs w:val="20"/>
        </w:rPr>
        <w:t xml:space="preserve">AI Prompt Strategy: </w:t>
      </w:r>
      <w:r>
        <w:rPr>
          <w:rFonts w:ascii="Arial" w:cs="Arial" w:eastAsia="Arial" w:hAnsi="Arial"/>
          <w:color w:val="0E1020"/>
          <w:sz w:val="20"/>
          <w:szCs w:val="20"/>
        </w:rPr>
        <w:t xml:space="preserve">Ask Claude for a three-panel review workspace. Tell it this is for a transaction that passed most checks but has specific items requiring human confirmation.</w:t>
      </w:r>
    </w:p>
    <w:p>
      <w:pPr>
        <w:pStyle w:val="ListParagraph"/>
        <w:numPr>
          <w:ilvl w:val="0"/>
          <w:numId w:val="3"/>
        </w:numPr>
        <w:spacing w:after="80"/>
      </w:pPr>
      <w:r>
        <w:rPr>
          <w:rFonts w:ascii="Arial" w:cs="Arial" w:eastAsia="Arial" w:hAnsi="Arial"/>
          <w:color w:val="0E1020"/>
          <w:sz w:val="20"/>
          <w:szCs w:val="20"/>
        </w:rPr>
        <w:t xml:space="preserve">Top bar: Triage Decision Summary Card showing the rule that triggered moderate routing and the specific conditions that matched</w:t>
      </w:r>
    </w:p>
    <w:p>
      <w:pPr>
        <w:pStyle w:val="ListParagraph"/>
        <w:numPr>
          <w:ilvl w:val="0"/>
          <w:numId w:val="3"/>
        </w:numPr>
        <w:spacing w:after="80"/>
      </w:pPr>
      <w:r>
        <w:rPr>
          <w:rFonts w:ascii="Arial" w:cs="Arial" w:eastAsia="Arial" w:hAnsi="Arial"/>
          <w:color w:val="0E1020"/>
          <w:sz w:val="20"/>
          <w:szCs w:val="20"/>
        </w:rPr>
        <w:t xml:space="preserve">Left panel: Flagged Items list with severity indicators. For a loan, examples include: 'Requested amount is 78% of maximum available,' 'Address on form differs from policy address,' 'No prior loan history on this policy'</w:t>
      </w:r>
    </w:p>
    <w:p>
      <w:pPr>
        <w:pStyle w:val="ListParagraph"/>
        <w:numPr>
          <w:ilvl w:val="0"/>
          <w:numId w:val="3"/>
        </w:numPr>
        <w:spacing w:after="80"/>
      </w:pPr>
      <w:r>
        <w:rPr>
          <w:rFonts w:ascii="Arial" w:cs="Arial" w:eastAsia="Arial" w:hAnsi="Arial"/>
          <w:color w:val="0E1020"/>
          <w:sz w:val="20"/>
          <w:szCs w:val="20"/>
        </w:rPr>
        <w:t xml:space="preserve">Right panel: Validation Checklist with checkboxes for each required confirmation. Items are pre-populated from the Good Order Checklist for the transaction type</w:t>
      </w:r>
    </w:p>
    <w:p>
      <w:pPr>
        <w:pStyle w:val="ListParagraph"/>
        <w:numPr>
          <w:ilvl w:val="0"/>
          <w:numId w:val="3"/>
        </w:numPr>
        <w:spacing w:after="80"/>
      </w:pPr>
      <w:r>
        <w:rPr>
          <w:rFonts w:ascii="Arial" w:cs="Arial" w:eastAsia="Arial" w:hAnsi="Arial"/>
          <w:color w:val="0E1020"/>
          <w:sz w:val="20"/>
          <w:szCs w:val="20"/>
        </w:rPr>
        <w:t xml:space="preserve">Each flagged item expands to show the source data (IDP value vs. policy value) and a resolution action (Confirm as Valid, Request Correction, Escalate)</w:t>
      </w:r>
    </w:p>
    <w:p>
      <w:pPr>
        <w:pStyle w:val="ListParagraph"/>
        <w:numPr>
          <w:ilvl w:val="0"/>
          <w:numId w:val="3"/>
        </w:numPr>
        <w:spacing w:after="80"/>
      </w:pPr>
      <w:r>
        <w:rPr>
          <w:rFonts w:ascii="Arial" w:cs="Arial" w:eastAsia="Arial" w:hAnsi="Arial"/>
          <w:color w:val="0E1020"/>
          <w:sz w:val="20"/>
          <w:szCs w:val="20"/>
        </w:rPr>
        <w:t xml:space="preserve">Bottom action bar: Approve All (enabled only when all flagged items resolved and checklist complete), Escalate to High Touch, Send NIGO to Customer</w:t>
      </w:r>
    </w:p>
    <w:p>
      <w:pPr>
        <w:pStyle w:val="Heading3"/>
        <w:spacing w:before="200" w:after="120"/>
      </w:pPr>
      <w:r>
        <w:rPr>
          <w:rFonts w:ascii="Arial" w:cs="Arial" w:eastAsia="Arial" w:hAnsi="Arial"/>
          <w:b/>
          <w:bCs/>
          <w:color w:val="0E1020"/>
          <w:sz w:val="22"/>
          <w:szCs w:val="22"/>
        </w:rPr>
        <w:t xml:space="preserve">Session 2C: High-Touch Workspace (3 hours)</w:t>
      </w:r>
    </w:p>
    <w:p>
      <w:pPr>
        <w:spacing w:after="160"/>
      </w:pPr>
      <w:r>
        <w:rPr>
          <w:rFonts w:ascii="Arial" w:cs="Arial" w:eastAsia="Arial" w:hAnsi="Arial"/>
          <w:b/>
          <w:bCs/>
          <w:color w:val="0E1020"/>
          <w:sz w:val="20"/>
          <w:szCs w:val="20"/>
        </w:rPr>
        <w:t xml:space="preserve">AI Prompt Strategy: </w:t>
      </w:r>
      <w:r>
        <w:rPr>
          <w:rFonts w:ascii="Arial" w:cs="Arial" w:eastAsia="Arial" w:hAnsi="Arial"/>
          <w:color w:val="0E1020"/>
          <w:sz w:val="20"/>
          <w:szCs w:val="20"/>
        </w:rPr>
        <w:t xml:space="preserve">This is the most complex workspace. Ask Claude to build a four-panel layout. Provide maximum detail on each panel because this component is information-dense.</w:t>
      </w:r>
    </w:p>
    <w:p>
      <w:pPr>
        <w:pStyle w:val="ListParagraph"/>
        <w:numPr>
          <w:ilvl w:val="0"/>
          <w:numId w:val="3"/>
        </w:numPr>
        <w:spacing w:after="80"/>
      </w:pPr>
      <w:r>
        <w:rPr>
          <w:rFonts w:ascii="Arial" w:cs="Arial" w:eastAsia="Arial" w:hAnsi="Arial"/>
          <w:color w:val="0E1020"/>
          <w:sz w:val="20"/>
          <w:szCs w:val="20"/>
        </w:rPr>
        <w:t xml:space="preserve">Panel 1 (top-left): Document Viewer with the original submitted form, zoom/pan controls, and page navigation for multi-page documents</w:t>
      </w:r>
    </w:p>
    <w:p>
      <w:pPr>
        <w:pStyle w:val="ListParagraph"/>
        <w:numPr>
          <w:ilvl w:val="0"/>
          <w:numId w:val="3"/>
        </w:numPr>
        <w:spacing w:after="80"/>
      </w:pPr>
      <w:r>
        <w:rPr>
          <w:rFonts w:ascii="Arial" w:cs="Arial" w:eastAsia="Arial" w:hAnsi="Arial"/>
          <w:color w:val="0E1020"/>
          <w:sz w:val="20"/>
          <w:szCs w:val="20"/>
        </w:rPr>
        <w:t xml:space="preserve">Panel 2 (top-right): Entity Comparison Table with side-by-side columns for IDP-extracted values vs. policy system values, diff highlighting for mismatches, and inline override capability</w:t>
      </w:r>
    </w:p>
    <w:p>
      <w:pPr>
        <w:pStyle w:val="ListParagraph"/>
        <w:numPr>
          <w:ilvl w:val="0"/>
          <w:numId w:val="3"/>
        </w:numPr>
        <w:spacing w:after="80"/>
      </w:pPr>
      <w:r>
        <w:rPr>
          <w:rFonts w:ascii="Arial" w:cs="Arial" w:eastAsia="Arial" w:hAnsi="Arial"/>
          <w:color w:val="0E1020"/>
          <w:sz w:val="20"/>
          <w:szCs w:val="20"/>
        </w:rPr>
        <w:t xml:space="preserve">Panel 3 (bottom-left): Financial Calculator. For loans: input fields for loan amount, interest rate, existing balance; outputs for net disbursement, monthly payment, and projected total interest. For withdrawals: surrender charge calculation, tax withholding estimate, net distribution amount</w:t>
      </w:r>
    </w:p>
    <w:p>
      <w:pPr>
        <w:pStyle w:val="ListParagraph"/>
        <w:numPr>
          <w:ilvl w:val="0"/>
          <w:numId w:val="3"/>
        </w:numPr>
        <w:spacing w:after="80"/>
      </w:pPr>
      <w:r>
        <w:rPr>
          <w:rFonts w:ascii="Arial" w:cs="Arial" w:eastAsia="Arial" w:hAnsi="Arial"/>
          <w:color w:val="0E1020"/>
          <w:sz w:val="20"/>
          <w:szCs w:val="20"/>
        </w:rPr>
        <w:t xml:space="preserve">Panel 4 (bottom-right): Action &amp; History Panel. Workflow timeline showing all prior case events, action buttons (Approve, Approve with Modifications, Return NIGO, Reject, Request Supervisor Override), and a reason/notes text area required for all non-standard actions</w:t>
      </w:r>
    </w:p>
    <w:p>
      <w:pPr>
        <w:pStyle w:val="ListParagraph"/>
        <w:numPr>
          <w:ilvl w:val="0"/>
          <w:numId w:val="3"/>
        </w:numPr>
        <w:spacing w:after="80"/>
      </w:pPr>
      <w:r>
        <w:rPr>
          <w:rFonts w:ascii="Arial" w:cs="Arial" w:eastAsia="Arial" w:hAnsi="Arial"/>
          <w:color w:val="0E1020"/>
          <w:sz w:val="20"/>
          <w:szCs w:val="20"/>
        </w:rPr>
        <w:t xml:space="preserve">Triage Decision Summary Card spanning the full width above the four panels</w:t>
      </w:r>
    </w:p>
    <w:p>
      <w:pPr>
        <w:pStyle w:val="Heading3"/>
        <w:spacing w:before="200" w:after="120"/>
      </w:pPr>
      <w:r>
        <w:rPr>
          <w:rFonts w:ascii="Arial" w:cs="Arial" w:eastAsia="Arial" w:hAnsi="Arial"/>
          <w:b/>
          <w:bCs/>
          <w:color w:val="0E1020"/>
          <w:sz w:val="22"/>
          <w:szCs w:val="22"/>
        </w:rPr>
        <w:t xml:space="preserve">Session 2D: Case Intake &amp; Transaction Selector (1.5 hours)</w:t>
      </w:r>
    </w:p>
    <w:p>
      <w:pPr>
        <w:spacing w:after="160"/>
      </w:pPr>
      <w:r>
        <w:rPr>
          <w:rFonts w:ascii="Arial" w:cs="Arial" w:eastAsia="Arial" w:hAnsi="Arial"/>
          <w:b/>
          <w:bCs/>
          <w:color w:val="0E1020"/>
          <w:sz w:val="20"/>
          <w:szCs w:val="20"/>
        </w:rPr>
        <w:t xml:space="preserve">AI Prompt Strategy: </w:t>
      </w:r>
      <w:r>
        <w:rPr>
          <w:rFonts w:ascii="Arial" w:cs="Arial" w:eastAsia="Arial" w:hAnsi="Arial"/>
          <w:color w:val="0E1020"/>
          <w:sz w:val="20"/>
          <w:szCs w:val="20"/>
        </w:rPr>
        <w:t xml:space="preserve">Generate a simple case creation form and document landing zone. This is the entry point UI.</w:t>
      </w:r>
    </w:p>
    <w:p>
      <w:pPr>
        <w:pStyle w:val="ListParagraph"/>
        <w:numPr>
          <w:ilvl w:val="0"/>
          <w:numId w:val="3"/>
        </w:numPr>
        <w:spacing w:after="80"/>
      </w:pPr>
      <w:r>
        <w:rPr>
          <w:rFonts w:ascii="Arial" w:cs="Arial" w:eastAsia="Arial" w:hAnsi="Arial"/>
          <w:color w:val="0E1020"/>
          <w:sz w:val="20"/>
          <w:szCs w:val="20"/>
        </w:rPr>
        <w:t xml:space="preserve">Transaction type dropdown populated from the Transaction Type Registry mock data</w:t>
      </w:r>
    </w:p>
    <w:p>
      <w:pPr>
        <w:pStyle w:val="ListParagraph"/>
        <w:numPr>
          <w:ilvl w:val="0"/>
          <w:numId w:val="3"/>
        </w:numPr>
        <w:spacing w:after="80"/>
      </w:pPr>
      <w:r>
        <w:rPr>
          <w:rFonts w:ascii="Arial" w:cs="Arial" w:eastAsia="Arial" w:hAnsi="Arial"/>
          <w:color w:val="0E1020"/>
          <w:sz w:val="20"/>
          <w:szCs w:val="20"/>
        </w:rPr>
        <w:t xml:space="preserve">Policy/contract number entry with real-time validation indicator (simulated lookup against mock policy data)</w:t>
      </w:r>
    </w:p>
    <w:p>
      <w:pPr>
        <w:pStyle w:val="ListParagraph"/>
        <w:numPr>
          <w:ilvl w:val="0"/>
          <w:numId w:val="3"/>
        </w:numPr>
        <w:spacing w:after="80"/>
      </w:pPr>
      <w:r>
        <w:rPr>
          <w:rFonts w:ascii="Arial" w:cs="Arial" w:eastAsia="Arial" w:hAnsi="Arial"/>
          <w:color w:val="0E1020"/>
          <w:sz w:val="20"/>
          <w:szCs w:val="20"/>
        </w:rPr>
        <w:t xml:space="preserve">Channel source auto-tag (pre-selected based on entry path: Portal, Mail/Fax, Call Center)</w:t>
      </w:r>
    </w:p>
    <w:p>
      <w:pPr>
        <w:pStyle w:val="ListParagraph"/>
        <w:numPr>
          <w:ilvl w:val="0"/>
          <w:numId w:val="3"/>
        </w:numPr>
        <w:spacing w:after="80"/>
      </w:pPr>
      <w:r>
        <w:rPr>
          <w:rFonts w:ascii="Arial" w:cs="Arial" w:eastAsia="Arial" w:hAnsi="Arial"/>
          <w:color w:val="0E1020"/>
          <w:sz w:val="20"/>
          <w:szCs w:val="20"/>
        </w:rPr>
        <w:t xml:space="preserve">Document upload zone with drag-and-drop, multi-file support, and document type classification dropdown</w:t>
      </w:r>
    </w:p>
    <w:p>
      <w:pPr>
        <w:pStyle w:val="ListParagraph"/>
        <w:numPr>
          <w:ilvl w:val="0"/>
          <w:numId w:val="3"/>
        </w:numPr>
        <w:spacing w:after="80"/>
      </w:pPr>
      <w:r>
        <w:rPr>
          <w:rFonts w:ascii="Arial" w:cs="Arial" w:eastAsia="Arial" w:hAnsi="Arial"/>
          <w:color w:val="0E1020"/>
          <w:sz w:val="20"/>
          <w:szCs w:val="20"/>
        </w:rPr>
        <w:t xml:space="preserve">Document list showing uploaded files with thumbnails, IDP processing status (queued, processing, complete), and a 'View Extraction Results' link that navigates to Component 2A</w:t>
      </w:r>
    </w:p>
    <w:p>
      <w:pPr>
        <w:pStyle w:val="Heading2"/>
        <w:spacing w:before="280" w:after="160"/>
      </w:pPr>
      <w:r>
        <w:rPr>
          <w:rFonts w:ascii="Arial" w:cs="Arial" w:eastAsia="Arial" w:hAnsi="Arial"/>
          <w:b/>
          <w:bCs/>
          <w:color w:val="004AAC"/>
          <w:sz w:val="26"/>
          <w:szCs w:val="26"/>
        </w:rPr>
        <w:t xml:space="preserve">2.3 Day 3: Integration Assembly + Demo Flow</w:t>
      </w:r>
    </w:p>
    <w:p>
      <w:pPr>
        <w:spacing w:after="160"/>
      </w:pPr>
      <w:r>
        <w:rPr>
          <w:rFonts w:ascii="Arial" w:cs="Arial" w:eastAsia="Arial" w:hAnsi="Arial"/>
          <w:color w:val="0E1020"/>
          <w:sz w:val="20"/>
          <w:szCs w:val="20"/>
        </w:rPr>
        <w:t xml:space="preserve">Day 3 connects the individual components into a navigable end-to-end demo application and builds the orchestration logic that ties the flow together.</w:t>
      </w:r>
    </w:p>
    <w:p>
      <w:pPr>
        <w:pStyle w:val="Heading3"/>
        <w:spacing w:before="200" w:after="120"/>
      </w:pPr>
      <w:r>
        <w:rPr>
          <w:rFonts w:ascii="Arial" w:cs="Arial" w:eastAsia="Arial" w:hAnsi="Arial"/>
          <w:b/>
          <w:bCs/>
          <w:color w:val="0E1020"/>
          <w:sz w:val="22"/>
          <w:szCs w:val="22"/>
        </w:rPr>
        <w:t xml:space="preserve">Session 3A: Application Shell &amp; Navigation (2 hours)</w:t>
      </w:r>
    </w:p>
    <w:p>
      <w:pPr>
        <w:spacing w:after="160"/>
      </w:pPr>
      <w:r>
        <w:rPr>
          <w:rFonts w:ascii="Arial" w:cs="Arial" w:eastAsia="Arial" w:hAnsi="Arial"/>
          <w:b/>
          <w:bCs/>
          <w:color w:val="0E1020"/>
          <w:sz w:val="20"/>
          <w:szCs w:val="20"/>
        </w:rPr>
        <w:t xml:space="preserve">AI Prompt Strategy: </w:t>
      </w:r>
      <w:r>
        <w:rPr>
          <w:rFonts w:ascii="Arial" w:cs="Arial" w:eastAsia="Arial" w:hAnsi="Arial"/>
          <w:color w:val="0E1020"/>
          <w:sz w:val="20"/>
          <w:szCs w:val="20"/>
        </w:rPr>
        <w:t xml:space="preserve">Ask Claude to generate an application shell that ties all the individual component screens together into a single-page app with routing.</w:t>
      </w:r>
    </w:p>
    <w:p>
      <w:pPr>
        <w:pStyle w:val="ListParagraph"/>
        <w:numPr>
          <w:ilvl w:val="0"/>
          <w:numId w:val="3"/>
        </w:numPr>
        <w:spacing w:after="80"/>
      </w:pPr>
      <w:r>
        <w:rPr>
          <w:rFonts w:ascii="Arial" w:cs="Arial" w:eastAsia="Arial" w:hAnsi="Arial"/>
          <w:color w:val="0E1020"/>
          <w:sz w:val="20"/>
          <w:szCs w:val="20"/>
        </w:rPr>
        <w:t xml:space="preserve">Top navigation bar with DXC branding, transaction type context indicator, and case ID</w:t>
      </w:r>
    </w:p>
    <w:p>
      <w:pPr>
        <w:pStyle w:val="ListParagraph"/>
        <w:numPr>
          <w:ilvl w:val="0"/>
          <w:numId w:val="3"/>
        </w:numPr>
        <w:spacing w:after="80"/>
      </w:pPr>
      <w:r>
        <w:rPr>
          <w:rFonts w:ascii="Arial" w:cs="Arial" w:eastAsia="Arial" w:hAnsi="Arial"/>
          <w:color w:val="0E1020"/>
          <w:sz w:val="20"/>
          <w:szCs w:val="20"/>
        </w:rPr>
        <w:t xml:space="preserve">Left sidebar with step-by-step workflow progress tracker: Intake &gt; IDP Extraction &gt; Validation &gt; Triage &gt; Processing &gt; Submission</w:t>
      </w:r>
    </w:p>
    <w:p>
      <w:pPr>
        <w:pStyle w:val="ListParagraph"/>
        <w:numPr>
          <w:ilvl w:val="0"/>
          <w:numId w:val="3"/>
        </w:numPr>
        <w:spacing w:after="80"/>
      </w:pPr>
      <w:r>
        <w:rPr>
          <w:rFonts w:ascii="Arial" w:cs="Arial" w:eastAsia="Arial" w:hAnsi="Arial"/>
          <w:color w:val="0E1020"/>
          <w:sz w:val="20"/>
          <w:szCs w:val="20"/>
        </w:rPr>
        <w:t xml:space="preserve">Each step in the progress tracker is clickable and navigates to the corresponding component</w:t>
      </w:r>
    </w:p>
    <w:p>
      <w:pPr>
        <w:pStyle w:val="ListParagraph"/>
        <w:numPr>
          <w:ilvl w:val="0"/>
          <w:numId w:val="3"/>
        </w:numPr>
        <w:spacing w:after="80"/>
      </w:pPr>
      <w:r>
        <w:rPr>
          <w:rFonts w:ascii="Arial" w:cs="Arial" w:eastAsia="Arial" w:hAnsi="Arial"/>
          <w:color w:val="0E1020"/>
          <w:sz w:val="20"/>
          <w:szCs w:val="20"/>
        </w:rPr>
        <w:t xml:space="preserve">Case header bar showing: policy number, owner name, transaction type, current status, assigned touch level badge</w:t>
      </w:r>
    </w:p>
    <w:p>
      <w:pPr>
        <w:pStyle w:val="ListParagraph"/>
        <w:numPr>
          <w:ilvl w:val="0"/>
          <w:numId w:val="3"/>
        </w:numPr>
        <w:spacing w:after="80"/>
      </w:pPr>
      <w:r>
        <w:rPr>
          <w:rFonts w:ascii="Arial" w:cs="Arial" w:eastAsia="Arial" w:hAnsi="Arial"/>
          <w:color w:val="0E1020"/>
          <w:sz w:val="20"/>
          <w:szCs w:val="20"/>
        </w:rPr>
        <w:t xml:space="preserve">Route configuration: /intake, /extraction, /validation, /triage, /processing/low, /processing/moderate, /processing/high, /confirmation</w:t>
      </w:r>
    </w:p>
    <w:p>
      <w:pPr>
        <w:pStyle w:val="Heading3"/>
        <w:spacing w:before="200" w:after="120"/>
      </w:pPr>
      <w:r>
        <w:rPr>
          <w:rFonts w:ascii="Arial" w:cs="Arial" w:eastAsia="Arial" w:hAnsi="Arial"/>
          <w:b/>
          <w:bCs/>
          <w:color w:val="0E1020"/>
          <w:sz w:val="22"/>
          <w:szCs w:val="22"/>
        </w:rPr>
        <w:t xml:space="preserve">Session 3B: Triage Orchestration Logic (2 hours)</w:t>
      </w:r>
    </w:p>
    <w:p>
      <w:pPr>
        <w:spacing w:after="160"/>
      </w:pPr>
      <w:r>
        <w:rPr>
          <w:rFonts w:ascii="Arial" w:cs="Arial" w:eastAsia="Arial" w:hAnsi="Arial"/>
          <w:b/>
          <w:bCs/>
          <w:color w:val="0E1020"/>
          <w:sz w:val="20"/>
          <w:szCs w:val="20"/>
        </w:rPr>
        <w:t xml:space="preserve">AI Prompt Strategy: </w:t>
      </w:r>
      <w:r>
        <w:rPr>
          <w:rFonts w:ascii="Arial" w:cs="Arial" w:eastAsia="Arial" w:hAnsi="Arial"/>
          <w:color w:val="0E1020"/>
          <w:sz w:val="20"/>
          <w:szCs w:val="20"/>
        </w:rPr>
        <w:t xml:space="preserve">Ask Claude to write the JavaScript evaluation engine that takes entity data and a decision table definition and returns the triage result. This is the runtime that powers the Decision Table Builder's test harness and the actual case routing.</w:t>
      </w:r>
    </w:p>
    <w:p>
      <w:pPr>
        <w:pStyle w:val="ListParagraph"/>
        <w:numPr>
          <w:ilvl w:val="0"/>
          <w:numId w:val="3"/>
        </w:numPr>
        <w:spacing w:after="80"/>
      </w:pPr>
      <w:r>
        <w:rPr>
          <w:rFonts w:ascii="Arial" w:cs="Arial" w:eastAsia="Arial" w:hAnsi="Arial"/>
          <w:color w:val="0E1020"/>
          <w:sz w:val="20"/>
          <w:szCs w:val="20"/>
        </w:rPr>
        <w:t xml:space="preserve">Function that accepts: validated IDP entities, policy entities, workflow metadata, and decision table definition</w:t>
      </w:r>
    </w:p>
    <w:p>
      <w:pPr>
        <w:pStyle w:val="ListParagraph"/>
        <w:numPr>
          <w:ilvl w:val="0"/>
          <w:numId w:val="3"/>
        </w:numPr>
        <w:spacing w:after="80"/>
      </w:pPr>
      <w:r>
        <w:rPr>
          <w:rFonts w:ascii="Arial" w:cs="Arial" w:eastAsia="Arial" w:hAnsi="Arial"/>
          <w:color w:val="0E1020"/>
          <w:sz w:val="20"/>
          <w:szCs w:val="20"/>
        </w:rPr>
        <w:t xml:space="preserve">Evaluates rules top-to-bottom, first match wins, returns: matched rule ID, output touch level, evaluation log</w:t>
      </w:r>
    </w:p>
    <w:p>
      <w:pPr>
        <w:pStyle w:val="ListParagraph"/>
        <w:numPr>
          <w:ilvl w:val="0"/>
          <w:numId w:val="3"/>
        </w:numPr>
        <w:spacing w:after="80"/>
      </w:pPr>
      <w:r>
        <w:rPr>
          <w:rFonts w:ascii="Arial" w:cs="Arial" w:eastAsia="Arial" w:hAnsi="Arial"/>
          <w:color w:val="0E1020"/>
          <w:sz w:val="20"/>
          <w:szCs w:val="20"/>
        </w:rPr>
        <w:t xml:space="preserve">Evaluation log records per-rule, per-condition pass/fail with the actual values tested</w:t>
      </w:r>
    </w:p>
    <w:p>
      <w:pPr>
        <w:pStyle w:val="ListParagraph"/>
        <w:numPr>
          <w:ilvl w:val="0"/>
          <w:numId w:val="3"/>
        </w:numPr>
        <w:spacing w:after="80"/>
      </w:pPr>
      <w:r>
        <w:rPr>
          <w:rFonts w:ascii="Arial" w:cs="Arial" w:eastAsia="Arial" w:hAnsi="Arial"/>
          <w:color w:val="0E1020"/>
          <w:sz w:val="20"/>
          <w:szCs w:val="20"/>
        </w:rPr>
        <w:t xml:space="preserve">Wire the engine into the application flow: after validation completes, auto-evaluate and route to the appropriate workspace</w:t>
      </w:r>
    </w:p>
    <w:p>
      <w:pPr>
        <w:pStyle w:val="Heading3"/>
        <w:spacing w:before="200" w:after="120"/>
      </w:pPr>
      <w:r>
        <w:rPr>
          <w:rFonts w:ascii="Arial" w:cs="Arial" w:eastAsia="Arial" w:hAnsi="Arial"/>
          <w:b/>
          <w:bCs/>
          <w:color w:val="0E1020"/>
          <w:sz w:val="22"/>
          <w:szCs w:val="22"/>
        </w:rPr>
        <w:t xml:space="preserve">Session 3C: Demo Scenario Scripting (2 hours)</w:t>
      </w:r>
    </w:p>
    <w:p>
      <w:pPr>
        <w:spacing w:after="160"/>
      </w:pPr>
      <w:r>
        <w:rPr>
          <w:rFonts w:ascii="Arial" w:cs="Arial" w:eastAsia="Arial" w:hAnsi="Arial"/>
          <w:color w:val="0E1020"/>
          <w:sz w:val="20"/>
          <w:szCs w:val="20"/>
        </w:rPr>
        <w:t xml:space="preserve">Build two complete demo scenarios that showcase the framework's configurability.</w:t>
      </w:r>
    </w:p>
    <w:p>
      <w:pPr>
        <w:pStyle w:val="ListParagraph"/>
        <w:numPr>
          <w:ilvl w:val="0"/>
          <w:numId w:val="2"/>
        </w:numPr>
        <w:spacing w:after="80"/>
      </w:pPr>
      <w:r>
        <w:rPr>
          <w:rFonts w:ascii="Arial" w:cs="Arial" w:eastAsia="Arial" w:hAnsi="Arial"/>
          <w:b/>
          <w:bCs/>
          <w:color w:val="0E1020"/>
          <w:sz w:val="20"/>
          <w:szCs w:val="20"/>
        </w:rPr>
        <w:t xml:space="preserve">Demo 1: Policy Loan (Moderate Touch): </w:t>
      </w:r>
      <w:r>
        <w:rPr>
          <w:rFonts w:ascii="Arial" w:cs="Arial" w:eastAsia="Arial" w:hAnsi="Arial"/>
          <w:color w:val="0E1020"/>
          <w:sz w:val="20"/>
          <w:szCs w:val="20"/>
        </w:rPr>
        <w:t xml:space="preserve">A $75,000 loan request against a policy with $120,000 CSV and an existing $10,000 loan. IDP confidence is 92%. The triage engine routes to moderate-touch because the requested amount is 68% of available maximum and an existing loan is present. The processor reviews the flagged items, confirms the loan balance, and approves.</w:t>
      </w:r>
    </w:p>
    <w:p>
      <w:pPr>
        <w:pStyle w:val="ListParagraph"/>
        <w:numPr>
          <w:ilvl w:val="0"/>
          <w:numId w:val="2"/>
        </w:numPr>
        <w:spacing w:after="80"/>
      </w:pPr>
      <w:r>
        <w:rPr>
          <w:rFonts w:ascii="Arial" w:cs="Arial" w:eastAsia="Arial" w:hAnsi="Arial"/>
          <w:b/>
          <w:bCs/>
          <w:color w:val="0E1020"/>
          <w:sz w:val="20"/>
          <w:szCs w:val="20"/>
        </w:rPr>
        <w:t xml:space="preserve">Demo 2: Annuity Withdrawal (Low Touch): </w:t>
      </w:r>
      <w:r>
        <w:rPr>
          <w:rFonts w:ascii="Arial" w:cs="Arial" w:eastAsia="Arial" w:hAnsi="Arial"/>
          <w:color w:val="0E1020"/>
          <w:sz w:val="20"/>
          <w:szCs w:val="20"/>
        </w:rPr>
        <w:t xml:space="preserve">A $5,000 withdrawal from an annuity with $180,000 account value, within the free withdrawal corridor, no surrender charges. IDP confidence is 97%. Triage routes to low-touch. Processor clicks approve. This scenario demonstrates that the same framework handles a different transaction type by switching the Transaction Type Registry configuration.</w:t>
      </w:r>
    </w:p>
    <w:p>
      <w:pPr>
        <w:pStyle w:val="ListParagraph"/>
        <w:numPr>
          <w:ilvl w:val="0"/>
          <w:numId w:val="2"/>
        </w:numPr>
        <w:spacing w:after="80"/>
      </w:pPr>
      <w:r>
        <w:rPr>
          <w:rFonts w:ascii="Arial" w:cs="Arial" w:eastAsia="Arial" w:hAnsi="Arial"/>
          <w:b/>
          <w:bCs/>
          <w:color w:val="0E1020"/>
          <w:sz w:val="20"/>
          <w:szCs w:val="20"/>
        </w:rPr>
        <w:t xml:space="preserve">Demo 3 (Stretch): Decision Table Reconfiguration: </w:t>
      </w:r>
      <w:r>
        <w:rPr>
          <w:rFonts w:ascii="Arial" w:cs="Arial" w:eastAsia="Arial" w:hAnsi="Arial"/>
          <w:color w:val="0E1020"/>
          <w:sz w:val="20"/>
          <w:szCs w:val="20"/>
        </w:rPr>
        <w:t xml:space="preserve">Live demonstration of the Decision Table Builder. Change a rule threshold (e.g., lower the STP confidence requirement from 95% to 90%), re-evaluate Demo 2, and show it now routes to STP instead of low-touch. This demonstrates business user configurability.</w:t>
      </w:r>
    </w:p>
    <w:p>
      <w:pPr>
        <w:pStyle w:val="Heading3"/>
        <w:spacing w:before="200" w:after="120"/>
      </w:pPr>
      <w:r>
        <w:rPr>
          <w:rFonts w:ascii="Arial" w:cs="Arial" w:eastAsia="Arial" w:hAnsi="Arial"/>
          <w:b/>
          <w:bCs/>
          <w:color w:val="0E1020"/>
          <w:sz w:val="22"/>
          <w:szCs w:val="22"/>
        </w:rPr>
        <w:t xml:space="preserve">Session 3D: Polish &amp; Presentation Prep (2 hours)</w:t>
      </w:r>
    </w:p>
    <w:p>
      <w:pPr>
        <w:pStyle w:val="ListParagraph"/>
        <w:numPr>
          <w:ilvl w:val="0"/>
          <w:numId w:val="3"/>
        </w:numPr>
        <w:spacing w:after="80"/>
      </w:pPr>
      <w:r>
        <w:rPr>
          <w:rFonts w:ascii="Arial" w:cs="Arial" w:eastAsia="Arial" w:hAnsi="Arial"/>
          <w:color w:val="0E1020"/>
          <w:sz w:val="20"/>
          <w:szCs w:val="20"/>
        </w:rPr>
        <w:t xml:space="preserve">Responsive layout cleanup and consistent styling across all components</w:t>
      </w:r>
    </w:p>
    <w:p>
      <w:pPr>
        <w:pStyle w:val="ListParagraph"/>
        <w:numPr>
          <w:ilvl w:val="0"/>
          <w:numId w:val="3"/>
        </w:numPr>
        <w:spacing w:after="80"/>
      </w:pPr>
      <w:r>
        <w:rPr>
          <w:rFonts w:ascii="Arial" w:cs="Arial" w:eastAsia="Arial" w:hAnsi="Arial"/>
          <w:color w:val="0E1020"/>
          <w:sz w:val="20"/>
          <w:szCs w:val="20"/>
        </w:rPr>
        <w:t xml:space="preserve">Loading states and transitions between workflow steps (skeleton screens, progress indicators)</w:t>
      </w:r>
    </w:p>
    <w:p>
      <w:pPr>
        <w:pStyle w:val="ListParagraph"/>
        <w:numPr>
          <w:ilvl w:val="0"/>
          <w:numId w:val="3"/>
        </w:numPr>
        <w:spacing w:after="80"/>
      </w:pPr>
      <w:r>
        <w:rPr>
          <w:rFonts w:ascii="Arial" w:cs="Arial" w:eastAsia="Arial" w:hAnsi="Arial"/>
          <w:color w:val="0E1020"/>
          <w:sz w:val="20"/>
          <w:szCs w:val="20"/>
        </w:rPr>
        <w:t xml:space="preserve">Error state handling for demo resilience (mock API failures with graceful fallbacks)</w:t>
      </w:r>
    </w:p>
    <w:p>
      <w:pPr>
        <w:pStyle w:val="ListParagraph"/>
        <w:numPr>
          <w:ilvl w:val="0"/>
          <w:numId w:val="3"/>
        </w:numPr>
        <w:spacing w:after="80"/>
      </w:pPr>
      <w:r>
        <w:rPr>
          <w:rFonts w:ascii="Arial" w:cs="Arial" w:eastAsia="Arial" w:hAnsi="Arial"/>
          <w:color w:val="0E1020"/>
          <w:sz w:val="20"/>
          <w:szCs w:val="20"/>
        </w:rPr>
        <w:t xml:space="preserve">Screenshot capture of key screens for the presentation deck</w:t>
      </w:r>
    </w:p>
    <w:p>
      <w:r>
        <w:br w:type="page"/>
      </w:r>
    </w:p>
    <w:p>
      <w:pPr>
        <w:pStyle w:val="Heading1"/>
        <w:spacing w:before="360" w:after="200"/>
      </w:pPr>
      <w:r>
        <w:rPr>
          <w:rFonts w:ascii="Arial" w:cs="Arial" w:eastAsia="Arial" w:hAnsi="Arial"/>
          <w:b/>
          <w:bCs/>
          <w:color w:val="0E1020"/>
          <w:sz w:val="32"/>
          <w:szCs w:val="32"/>
        </w:rPr>
        <w:t xml:space="preserve">3. Phase 2: ServiceNow FSO Integration (Days 4–7)</w:t>
      </w:r>
    </w:p>
    <w:p>
      <w:pPr>
        <w:spacing w:after="160"/>
      </w:pPr>
      <w:r>
        <w:rPr>
          <w:rFonts w:ascii="Arial" w:cs="Arial" w:eastAsia="Arial" w:hAnsi="Arial"/>
          <w:color w:val="0E1020"/>
          <w:sz w:val="20"/>
          <w:szCs w:val="20"/>
        </w:rPr>
        <w:t xml:space="preserve">Phase 2 translates the AI-generated UI components into native ServiceNow FSO constructs. This phase runs in parallel with the later days of Phase 1 if the team has a dedicated ServiceNow integration sub-team.</w:t>
      </w:r>
    </w:p>
    <w:p>
      <w:pPr>
        <w:pStyle w:val="Heading2"/>
        <w:spacing w:before="280" w:after="160"/>
      </w:pPr>
      <w:r>
        <w:rPr>
          <w:rFonts w:ascii="Arial" w:cs="Arial" w:eastAsia="Arial" w:hAnsi="Arial"/>
          <w:b/>
          <w:bCs/>
          <w:color w:val="004AAC"/>
          <w:sz w:val="26"/>
          <w:szCs w:val="26"/>
        </w:rPr>
        <w:t xml:space="preserve">3.1 ServiceNow Platform Configuration (Day 4)</w:t>
      </w:r>
    </w:p>
    <w:p>
      <w:pPr>
        <w:spacing w:after="160"/>
      </w:pPr>
      <w:r>
        <w:rPr>
          <w:rFonts w:ascii="Arial" w:cs="Arial" w:eastAsia="Arial" w:hAnsi="Arial"/>
          <w:color w:val="0E1020"/>
          <w:sz w:val="20"/>
          <w:szCs w:val="20"/>
        </w:rPr>
        <w:t xml:space="preserve">Before porting any UI, the platform foundation must be in place.</w:t>
      </w:r>
    </w:p>
    <w:p>
      <w:pPr>
        <w:pStyle w:val="Heading3"/>
        <w:spacing w:before="200" w:after="120"/>
      </w:pPr>
      <w:r>
        <w:rPr>
          <w:rFonts w:ascii="Arial" w:cs="Arial" w:eastAsia="Arial" w:hAnsi="Arial"/>
          <w:b/>
          <w:bCs/>
          <w:color w:val="0E1020"/>
          <w:sz w:val="22"/>
          <w:szCs w:val="22"/>
        </w:rPr>
        <w:t xml:space="preserve">3.1.1 Table Architecture</w:t>
      </w:r>
    </w:p>
    <w:p>
      <w:pPr>
        <w:pStyle w:val="ListParagraph"/>
        <w:numPr>
          <w:ilvl w:val="0"/>
          <w:numId w:val="2"/>
        </w:numPr>
        <w:spacing w:after="80"/>
      </w:pPr>
      <w:r>
        <w:rPr>
          <w:rFonts w:ascii="Arial" w:cs="Arial" w:eastAsia="Arial" w:hAnsi="Arial"/>
          <w:b/>
          <w:bCs/>
          <w:color w:val="0E1020"/>
          <w:sz w:val="20"/>
          <w:szCs w:val="20"/>
        </w:rPr>
        <w:t xml:space="preserve">x_dxc_smartapp_txn_type_registry: </w:t>
      </w:r>
      <w:r>
        <w:rPr>
          <w:rFonts w:ascii="Arial" w:cs="Arial" w:eastAsia="Arial" w:hAnsi="Arial"/>
          <w:color w:val="0E1020"/>
          <w:sz w:val="20"/>
          <w:szCs w:val="20"/>
        </w:rPr>
        <w:t xml:space="preserve">Transaction Type Registry. Fields: key, display_name, idp_template_ref, decision_table_ref, form_layout_ref, good_order_checklist_ref, api_payload_template, confidence_thresholds (JSON), correspondence_templates (JSON). Seed with Loan and Withdrawal records.</w:t>
      </w:r>
    </w:p>
    <w:p>
      <w:pPr>
        <w:pStyle w:val="ListParagraph"/>
        <w:numPr>
          <w:ilvl w:val="0"/>
          <w:numId w:val="2"/>
        </w:numPr>
        <w:spacing w:after="80"/>
      </w:pPr>
      <w:r>
        <w:rPr>
          <w:rFonts w:ascii="Arial" w:cs="Arial" w:eastAsia="Arial" w:hAnsi="Arial"/>
          <w:b/>
          <w:bCs/>
          <w:color w:val="0E1020"/>
          <w:sz w:val="20"/>
          <w:szCs w:val="20"/>
        </w:rPr>
        <w:t xml:space="preserve">x_dxc_smartapp_case: </w:t>
      </w:r>
      <w:r>
        <w:rPr>
          <w:rFonts w:ascii="Arial" w:cs="Arial" w:eastAsia="Arial" w:hAnsi="Arial"/>
          <w:color w:val="0E1020"/>
          <w:sz w:val="20"/>
          <w:szCs w:val="20"/>
        </w:rPr>
        <w:t xml:space="preserve">Case table extending sn_customerservice_case or task. Fields: transaction_type (reference to registry), policy_number, channel_source, triage_touch_level, triage_rule_matched, triage_timestamp, current_status, assigned_processor.</w:t>
      </w:r>
    </w:p>
    <w:p>
      <w:pPr>
        <w:pStyle w:val="ListParagraph"/>
        <w:numPr>
          <w:ilvl w:val="0"/>
          <w:numId w:val="2"/>
        </w:numPr>
        <w:spacing w:after="80"/>
      </w:pPr>
      <w:r>
        <w:rPr>
          <w:rFonts w:ascii="Arial" w:cs="Arial" w:eastAsia="Arial" w:hAnsi="Arial"/>
          <w:b/>
          <w:bCs/>
          <w:color w:val="0E1020"/>
          <w:sz w:val="20"/>
          <w:szCs w:val="20"/>
        </w:rPr>
        <w:t xml:space="preserve">x_dxc_smartapp_idp_entity: </w:t>
      </w:r>
      <w:r>
        <w:rPr>
          <w:rFonts w:ascii="Arial" w:cs="Arial" w:eastAsia="Arial" w:hAnsi="Arial"/>
          <w:color w:val="0E1020"/>
          <w:sz w:val="20"/>
          <w:szCs w:val="20"/>
        </w:rPr>
        <w:t xml:space="preserve">IDP extraction results. Fields: case (reference), field_name, extracted_value, confidence_score, validated_by, validated_at, original_value (for corrections), match_status (vs. policy).</w:t>
      </w:r>
    </w:p>
    <w:p>
      <w:pPr>
        <w:pStyle w:val="ListParagraph"/>
        <w:numPr>
          <w:ilvl w:val="0"/>
          <w:numId w:val="2"/>
        </w:numPr>
        <w:spacing w:after="80"/>
      </w:pPr>
      <w:r>
        <w:rPr>
          <w:rFonts w:ascii="Arial" w:cs="Arial" w:eastAsia="Arial" w:hAnsi="Arial"/>
          <w:b/>
          <w:bCs/>
          <w:color w:val="0E1020"/>
          <w:sz w:val="20"/>
          <w:szCs w:val="20"/>
        </w:rPr>
        <w:t xml:space="preserve">x_dxc_smartapp_policy_entity: </w:t>
      </w:r>
      <w:r>
        <w:rPr>
          <w:rFonts w:ascii="Arial" w:cs="Arial" w:eastAsia="Arial" w:hAnsi="Arial"/>
          <w:color w:val="0E1020"/>
          <w:sz w:val="20"/>
          <w:szCs w:val="20"/>
        </w:rPr>
        <w:t xml:space="preserve">Policy data snapshot. Fields: case (reference), field_name, field_value, retrieved_at, source_system.</w:t>
      </w:r>
    </w:p>
    <w:p>
      <w:pPr>
        <w:pStyle w:val="ListParagraph"/>
        <w:numPr>
          <w:ilvl w:val="0"/>
          <w:numId w:val="2"/>
        </w:numPr>
        <w:spacing w:after="80"/>
      </w:pPr>
      <w:r>
        <w:rPr>
          <w:rFonts w:ascii="Arial" w:cs="Arial" w:eastAsia="Arial" w:hAnsi="Arial"/>
          <w:b/>
          <w:bCs/>
          <w:color w:val="0E1020"/>
          <w:sz w:val="20"/>
          <w:szCs w:val="20"/>
        </w:rPr>
        <w:t xml:space="preserve">x_dxc_smartapp_decision_table: </w:t>
      </w:r>
      <w:r>
        <w:rPr>
          <w:rFonts w:ascii="Arial" w:cs="Arial" w:eastAsia="Arial" w:hAnsi="Arial"/>
          <w:color w:val="0E1020"/>
          <w:sz w:val="20"/>
          <w:szCs w:val="20"/>
        </w:rPr>
        <w:t xml:space="preserve">Decision table definitions. Fields: name, transaction_type (reference), version, status (draft/active/archived), description.</w:t>
      </w:r>
    </w:p>
    <w:p>
      <w:pPr>
        <w:pStyle w:val="ListParagraph"/>
        <w:numPr>
          <w:ilvl w:val="0"/>
          <w:numId w:val="2"/>
        </w:numPr>
        <w:spacing w:after="80"/>
      </w:pPr>
      <w:r>
        <w:rPr>
          <w:rFonts w:ascii="Arial" w:cs="Arial" w:eastAsia="Arial" w:hAnsi="Arial"/>
          <w:b/>
          <w:bCs/>
          <w:color w:val="0E1020"/>
          <w:sz w:val="20"/>
          <w:szCs w:val="20"/>
        </w:rPr>
        <w:t xml:space="preserve">x_dxc_smartapp_decision_rule: </w:t>
      </w:r>
      <w:r>
        <w:rPr>
          <w:rFonts w:ascii="Arial" w:cs="Arial" w:eastAsia="Arial" w:hAnsi="Arial"/>
          <w:color w:val="0E1020"/>
          <w:sz w:val="20"/>
          <w:szCs w:val="20"/>
        </w:rPr>
        <w:t xml:space="preserve">Individual rules. Fields: decision_table (reference), rule_order, output_touch_level, is_default. Child table: x_dxc_smartapp_rule_condition with fields: rule (reference), entity_source (IDP/Policy/Workflow), field_name, operator, value.</w:t>
      </w:r>
    </w:p>
    <w:p>
      <w:pPr>
        <w:pStyle w:val="ListParagraph"/>
        <w:numPr>
          <w:ilvl w:val="0"/>
          <w:numId w:val="2"/>
        </w:numPr>
        <w:spacing w:after="80"/>
      </w:pPr>
      <w:r>
        <w:rPr>
          <w:rFonts w:ascii="Arial" w:cs="Arial" w:eastAsia="Arial" w:hAnsi="Arial"/>
          <w:b/>
          <w:bCs/>
          <w:color w:val="0E1020"/>
          <w:sz w:val="20"/>
          <w:szCs w:val="20"/>
        </w:rPr>
        <w:t xml:space="preserve">x_dxc_smartapp_workflow_event: </w:t>
      </w:r>
      <w:r>
        <w:rPr>
          <w:rFonts w:ascii="Arial" w:cs="Arial" w:eastAsia="Arial" w:hAnsi="Arial"/>
          <w:color w:val="0E1020"/>
          <w:sz w:val="20"/>
          <w:szCs w:val="20"/>
        </w:rPr>
        <w:t xml:space="preserve">Audit trail. Fields: case (reference), event_type, event_data (JSON), actor, timestamp.</w:t>
      </w:r>
    </w:p>
    <w:p>
      <w:pPr>
        <w:pStyle w:val="Heading3"/>
        <w:spacing w:before="200" w:after="120"/>
      </w:pPr>
      <w:r>
        <w:rPr>
          <w:rFonts w:ascii="Arial" w:cs="Arial" w:eastAsia="Arial" w:hAnsi="Arial"/>
          <w:b/>
          <w:bCs/>
          <w:color w:val="0E1020"/>
          <w:sz w:val="22"/>
          <w:szCs w:val="22"/>
        </w:rPr>
        <w:t xml:space="preserve">3.1.2 Scripted REST APIs</w:t>
      </w:r>
    </w:p>
    <w:p>
      <w:pPr>
        <w:pStyle w:val="ListParagraph"/>
        <w:numPr>
          <w:ilvl w:val="0"/>
          <w:numId w:val="2"/>
        </w:numPr>
        <w:spacing w:after="80"/>
      </w:pPr>
      <w:r>
        <w:rPr>
          <w:rFonts w:ascii="Arial" w:cs="Arial" w:eastAsia="Arial" w:hAnsi="Arial"/>
          <w:b/>
          <w:bCs/>
          <w:color w:val="0E1020"/>
          <w:sz w:val="20"/>
          <w:szCs w:val="20"/>
        </w:rPr>
        <w:t xml:space="preserve">/api/x_dxc_smartapp/entities/{caseId}: </w:t>
      </w:r>
      <w:r>
        <w:rPr>
          <w:rFonts w:ascii="Arial" w:cs="Arial" w:eastAsia="Arial" w:hAnsi="Arial"/>
          <w:color w:val="0E1020"/>
          <w:sz w:val="20"/>
          <w:szCs w:val="20"/>
        </w:rPr>
        <w:t xml:space="preserve">Returns combined IDP + Policy + Workflow entities for a case, formatted to match the mock data contracts from Phase 1</w:t>
      </w:r>
    </w:p>
    <w:p>
      <w:pPr>
        <w:pStyle w:val="ListParagraph"/>
        <w:numPr>
          <w:ilvl w:val="0"/>
          <w:numId w:val="2"/>
        </w:numPr>
        <w:spacing w:after="80"/>
      </w:pPr>
      <w:r>
        <w:rPr>
          <w:rFonts w:ascii="Arial" w:cs="Arial" w:eastAsia="Arial" w:hAnsi="Arial"/>
          <w:b/>
          <w:bCs/>
          <w:color w:val="0E1020"/>
          <w:sz w:val="20"/>
          <w:szCs w:val="20"/>
        </w:rPr>
        <w:t xml:space="preserve">/api/x_dxc_smartapp/triage/evaluate: </w:t>
      </w:r>
      <w:r>
        <w:rPr>
          <w:rFonts w:ascii="Arial" w:cs="Arial" w:eastAsia="Arial" w:hAnsi="Arial"/>
          <w:color w:val="0E1020"/>
          <w:sz w:val="20"/>
          <w:szCs w:val="20"/>
        </w:rPr>
        <w:t xml:space="preserve">POST endpoint that accepts case ID, runs the triage engine, and returns touch level assignment</w:t>
      </w:r>
    </w:p>
    <w:p>
      <w:pPr>
        <w:pStyle w:val="ListParagraph"/>
        <w:numPr>
          <w:ilvl w:val="0"/>
          <w:numId w:val="2"/>
        </w:numPr>
        <w:spacing w:after="80"/>
      </w:pPr>
      <w:r>
        <w:rPr>
          <w:rFonts w:ascii="Arial" w:cs="Arial" w:eastAsia="Arial" w:hAnsi="Arial"/>
          <w:b/>
          <w:bCs/>
          <w:color w:val="0E1020"/>
          <w:sz w:val="20"/>
          <w:szCs w:val="20"/>
        </w:rPr>
        <w:t xml:space="preserve">/api/x_dxc_smartapp/decision-tables/{tableId}: </w:t>
      </w:r>
      <w:r>
        <w:rPr>
          <w:rFonts w:ascii="Arial" w:cs="Arial" w:eastAsia="Arial" w:hAnsi="Arial"/>
          <w:color w:val="0E1020"/>
          <w:sz w:val="20"/>
          <w:szCs w:val="20"/>
        </w:rPr>
        <w:t xml:space="preserve">CRUD operations for decision table definitions and rules</w:t>
      </w:r>
    </w:p>
    <w:p>
      <w:pPr>
        <w:pStyle w:val="ListParagraph"/>
        <w:numPr>
          <w:ilvl w:val="0"/>
          <w:numId w:val="2"/>
        </w:numPr>
        <w:spacing w:after="80"/>
      </w:pPr>
      <w:r>
        <w:rPr>
          <w:rFonts w:ascii="Arial" w:cs="Arial" w:eastAsia="Arial" w:hAnsi="Arial"/>
          <w:b/>
          <w:bCs/>
          <w:color w:val="0E1020"/>
          <w:sz w:val="20"/>
          <w:szCs w:val="20"/>
        </w:rPr>
        <w:t xml:space="preserve">/api/x_dxc_smartapp/decision-tables/{tableId}/test: </w:t>
      </w:r>
      <w:r>
        <w:rPr>
          <w:rFonts w:ascii="Arial" w:cs="Arial" w:eastAsia="Arial" w:hAnsi="Arial"/>
          <w:color w:val="0E1020"/>
          <w:sz w:val="20"/>
          <w:szCs w:val="20"/>
        </w:rPr>
        <w:t xml:space="preserve">POST endpoint for the test harness: accepts input values, returns evaluation result</w:t>
      </w:r>
    </w:p>
    <w:p>
      <w:pPr>
        <w:pStyle w:val="Heading2"/>
        <w:spacing w:before="280" w:after="160"/>
      </w:pPr>
      <w:r>
        <w:rPr>
          <w:rFonts w:ascii="Arial" w:cs="Arial" w:eastAsia="Arial" w:hAnsi="Arial"/>
          <w:b/>
          <w:bCs/>
          <w:color w:val="004AAC"/>
          <w:sz w:val="26"/>
          <w:szCs w:val="26"/>
        </w:rPr>
        <w:t xml:space="preserve">3.2 UI Component Porting (Days 5–6)</w:t>
      </w:r>
    </w:p>
    <w:p>
      <w:pPr>
        <w:spacing w:after="160"/>
      </w:pPr>
      <w:r>
        <w:rPr>
          <w:rFonts w:ascii="Arial" w:cs="Arial" w:eastAsia="Arial" w:hAnsi="Arial"/>
          <w:color w:val="0E1020"/>
          <w:sz w:val="20"/>
          <w:szCs w:val="20"/>
        </w:rPr>
        <w:t xml:space="preserve">Each AI-generated React component maps to a ServiceNow UI Builder page or workspace component. The porting process follows a consistent pattern: extract the component's data requirements, create a UI Builder data resource that calls the scripted REST API, and rebuild the visual layout using Now Experience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AI Component</w:t>
            </w:r>
          </w:p>
        </w:tc>
        <w:tc>
          <w:tcPr>
            <w:tcW w:type="dxa" w:w="26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FSO Target</w:t>
            </w:r>
          </w:p>
        </w:tc>
        <w:tc>
          <w:tcPr>
            <w:tcW w:type="dxa" w:w="24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Resource</w:t>
            </w:r>
          </w:p>
        </w:tc>
        <w:tc>
          <w:tcPr>
            <w:tcW w:type="dxa" w:w="236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Porting Complexity</w:t>
            </w:r>
          </w:p>
        </w:tc>
      </w:tr>
      <w:tr>
        <w:tc>
          <w:tcPr>
            <w:tcW w:type="dxa" w:w="20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Transaction Selector</w:t>
            </w:r>
          </w:p>
        </w:tc>
        <w:tc>
          <w:tcPr>
            <w:tcW w:type="dxa" w:w="26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Workspace landing page with form widget</w:t>
            </w:r>
          </w:p>
        </w:tc>
        <w:tc>
          <w:tcPr>
            <w:tcW w:type="dxa" w:w="24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Table API: txn_type_registry</w:t>
            </w:r>
          </w:p>
        </w:tc>
        <w:tc>
          <w:tcPr>
            <w:tcW w:type="dxa" w:w="23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2E8B57"/>
                <w:sz w:val="20"/>
                <w:szCs w:val="20"/>
              </w:rPr>
              <w:t xml:space="preserve">Low — standard form</w:t>
            </w:r>
          </w:p>
        </w:tc>
      </w:tr>
      <w:tr>
        <w:tc>
          <w:tcPr>
            <w:tcW w:type="dxa" w:w="20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Document Landing</w:t>
            </w:r>
          </w:p>
        </w:tc>
        <w:tc>
          <w:tcPr>
            <w:tcW w:type="dxa" w:w="26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Workspace tab with attachment widget</w:t>
            </w:r>
          </w:p>
        </w:tc>
        <w:tc>
          <w:tcPr>
            <w:tcW w:type="dxa" w:w="24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Attachment API + IDP status table</w:t>
            </w:r>
          </w:p>
        </w:tc>
        <w:tc>
          <w:tcPr>
            <w:tcW w:type="dxa" w:w="23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2E8B57"/>
                <w:sz w:val="20"/>
                <w:szCs w:val="20"/>
              </w:rPr>
              <w:t xml:space="preserve">Low — existing FSO patterns</w:t>
            </w:r>
          </w:p>
        </w:tc>
      </w:tr>
      <w:tr>
        <w:tc>
          <w:tcPr>
            <w:tcW w:type="dxa" w:w="20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IDP Extraction Panel</w:t>
            </w:r>
          </w:p>
        </w:tc>
        <w:tc>
          <w:tcPr>
            <w:tcW w:type="dxa" w:w="26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Custom UI Builder page with split-pane</w:t>
            </w:r>
          </w:p>
        </w:tc>
        <w:tc>
          <w:tcPr>
            <w:tcW w:type="dxa" w:w="24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REST: /entities/{caseId}</w:t>
            </w:r>
          </w:p>
        </w:tc>
        <w:tc>
          <w:tcPr>
            <w:tcW w:type="dxa" w:w="23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FFAE41"/>
                <w:sz w:val="20"/>
                <w:szCs w:val="20"/>
              </w:rPr>
              <w:t xml:space="preserve">Medium — custom layout</w:t>
            </w:r>
          </w:p>
        </w:tc>
      </w:tr>
      <w:tr>
        <w:tc>
          <w:tcPr>
            <w:tcW w:type="dxa" w:w="20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Entity Validation Form</w:t>
            </w:r>
          </w:p>
        </w:tc>
        <w:tc>
          <w:tcPr>
            <w:tcW w:type="dxa" w:w="26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Dynamic form in UI Builder</w:t>
            </w:r>
          </w:p>
        </w:tc>
        <w:tc>
          <w:tcPr>
            <w:tcW w:type="dxa" w:w="24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REST: /entities + form layout config</w:t>
            </w:r>
          </w:p>
        </w:tc>
        <w:tc>
          <w:tcPr>
            <w:tcW w:type="dxa" w:w="23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FFAE41"/>
                <w:sz w:val="20"/>
                <w:szCs w:val="20"/>
              </w:rPr>
              <w:t xml:space="preserve">Medium — dynamic fields</w:t>
            </w:r>
          </w:p>
        </w:tc>
      </w:tr>
      <w:tr>
        <w:tc>
          <w:tcPr>
            <w:tcW w:type="dxa" w:w="20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Decision Table Builder</w:t>
            </w:r>
          </w:p>
        </w:tc>
        <w:tc>
          <w:tcPr>
            <w:tcW w:type="dxa" w:w="26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Custom UI Builder page (may remain as embedded React)</w:t>
            </w:r>
          </w:p>
        </w:tc>
        <w:tc>
          <w:tcPr>
            <w:tcW w:type="dxa" w:w="24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REST: /decision-tables CRUD + /test</w:t>
            </w:r>
          </w:p>
        </w:tc>
        <w:tc>
          <w:tcPr>
            <w:tcW w:type="dxa" w:w="23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D14600"/>
                <w:sz w:val="20"/>
                <w:szCs w:val="20"/>
              </w:rPr>
              <w:t xml:space="preserve">High — complex interaction</w:t>
            </w:r>
          </w:p>
        </w:tc>
      </w:tr>
      <w:tr>
        <w:tc>
          <w:tcPr>
            <w:tcW w:type="dxa" w:w="20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Low-Touch Workspace</w:t>
            </w:r>
          </w:p>
        </w:tc>
        <w:tc>
          <w:tcPr>
            <w:tcW w:type="dxa" w:w="26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Agent Workspace variant</w:t>
            </w:r>
          </w:p>
        </w:tc>
        <w:tc>
          <w:tcPr>
            <w:tcW w:type="dxa" w:w="24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REST: /entities/{caseId}</w:t>
            </w:r>
          </w:p>
        </w:tc>
        <w:tc>
          <w:tcPr>
            <w:tcW w:type="dxa" w:w="23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2E8B57"/>
                <w:sz w:val="20"/>
                <w:szCs w:val="20"/>
              </w:rPr>
              <w:t xml:space="preserve">Low — summary layout</w:t>
            </w:r>
          </w:p>
        </w:tc>
      </w:tr>
      <w:tr>
        <w:tc>
          <w:tcPr>
            <w:tcW w:type="dxa" w:w="20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Moderate-Touch Workspace</w:t>
            </w:r>
          </w:p>
        </w:tc>
        <w:tc>
          <w:tcPr>
            <w:tcW w:type="dxa" w:w="26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Agent Workspace variant</w:t>
            </w:r>
          </w:p>
        </w:tc>
        <w:tc>
          <w:tcPr>
            <w:tcW w:type="dxa" w:w="24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REST: /entities + flagged items</w:t>
            </w:r>
          </w:p>
        </w:tc>
        <w:tc>
          <w:tcPr>
            <w:tcW w:type="dxa" w:w="23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FFAE41"/>
                <w:sz w:val="20"/>
                <w:szCs w:val="20"/>
              </w:rPr>
              <w:t xml:space="preserve">Medium — checklist logic</w:t>
            </w:r>
          </w:p>
        </w:tc>
      </w:tr>
      <w:tr>
        <w:tc>
          <w:tcPr>
            <w:tcW w:type="dxa" w:w="20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High-Touch Workspace</w:t>
            </w:r>
          </w:p>
        </w:tc>
        <w:tc>
          <w:tcPr>
            <w:tcW w:type="dxa" w:w="26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Agent Workspace variant with 4-panel</w:t>
            </w:r>
          </w:p>
        </w:tc>
        <w:tc>
          <w:tcPr>
            <w:tcW w:type="dxa" w:w="24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REST: /entities + calculator logic</w:t>
            </w:r>
          </w:p>
        </w:tc>
        <w:tc>
          <w:tcPr>
            <w:tcW w:type="dxa" w:w="23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FFAE41"/>
                <w:sz w:val="20"/>
                <w:szCs w:val="20"/>
              </w:rPr>
              <w:t xml:space="preserve">Medium — multi-panel</w:t>
            </w:r>
          </w:p>
        </w:tc>
      </w:tr>
    </w:tbl>
    <w:p>
      <w:pPr>
        <w:spacing w:after="120"/>
      </w:pPr>
    </w:p>
    <w:p>
      <w:pPr>
        <w:spacing w:after="160"/>
      </w:pPr>
      <w:r>
        <w:rPr>
          <w:rFonts w:ascii="Arial" w:cs="Arial" w:eastAsia="Arial" w:hAnsi="Arial"/>
          <w:b/>
          <w:bCs/>
          <w:color w:val="0E1020"/>
          <w:sz w:val="20"/>
          <w:szCs w:val="20"/>
        </w:rPr>
        <w:t xml:space="preserve">Critical Decision — Decision Table Builder: </w:t>
      </w:r>
      <w:r>
        <w:rPr>
          <w:rFonts w:ascii="Arial" w:cs="Arial" w:eastAsia="Arial" w:hAnsi="Arial"/>
          <w:color w:val="0E1020"/>
          <w:sz w:val="20"/>
          <w:szCs w:val="20"/>
        </w:rPr>
        <w:t xml:space="preserve">The DT Builder is the most complex interactive component. For the hackathon, it is recommended to embed the AI-generated React component directly into ServiceNow as an iframe or custom Now Experience component rather than rebuilding it natively. This preserves the rich drag-and-drop interaction while meeting the integration deadline. Post-hackathon, a native rebuild can be planned.</w:t>
      </w:r>
    </w:p>
    <w:p>
      <w:pPr>
        <w:pStyle w:val="Heading2"/>
        <w:spacing w:before="280" w:after="160"/>
      </w:pPr>
      <w:r>
        <w:rPr>
          <w:rFonts w:ascii="Arial" w:cs="Arial" w:eastAsia="Arial" w:hAnsi="Arial"/>
          <w:b/>
          <w:bCs/>
          <w:color w:val="004AAC"/>
          <w:sz w:val="26"/>
          <w:szCs w:val="26"/>
        </w:rPr>
        <w:t xml:space="preserve">3.3 Flow Designer Integration (Day 6–7)</w:t>
      </w:r>
    </w:p>
    <w:p>
      <w:pPr>
        <w:spacing w:after="160"/>
      </w:pPr>
      <w:r>
        <w:rPr>
          <w:rFonts w:ascii="Arial" w:cs="Arial" w:eastAsia="Arial" w:hAnsi="Arial"/>
          <w:color w:val="0E1020"/>
          <w:sz w:val="20"/>
          <w:szCs w:val="20"/>
        </w:rPr>
        <w:t xml:space="preserve">ServiceNow Flow Designer orchestrates the case lifecycle. The following flows wire the UI components into the end-to-end process.</w:t>
      </w:r>
    </w:p>
    <w:p>
      <w:pPr>
        <w:pStyle w:val="ListParagraph"/>
        <w:numPr>
          <w:ilvl w:val="0"/>
          <w:numId w:val="2"/>
        </w:numPr>
        <w:spacing w:after="80"/>
      </w:pPr>
      <w:r>
        <w:rPr>
          <w:rFonts w:ascii="Arial" w:cs="Arial" w:eastAsia="Arial" w:hAnsi="Arial"/>
          <w:b/>
          <w:bCs/>
          <w:color w:val="0E1020"/>
          <w:sz w:val="20"/>
          <w:szCs w:val="20"/>
        </w:rPr>
        <w:t xml:space="preserve">Flow 1: Case Intake: </w:t>
      </w:r>
      <w:r>
        <w:rPr>
          <w:rFonts w:ascii="Arial" w:cs="Arial" w:eastAsia="Arial" w:hAnsi="Arial"/>
          <w:color w:val="0E1020"/>
          <w:sz w:val="20"/>
          <w:szCs w:val="20"/>
        </w:rPr>
        <w:t xml:space="preserve">Trigger: case record created. Steps: (1) Look up Transaction Type Registry by case.transaction_type, (2) Call IDP service with document and IDP template reference, (3) Write IDP entity records from extraction results, (4) Call admin system API to retrieve policy data, (5) Write policy entity records, (6) Set case status to 'Pending Validation'.</w:t>
      </w:r>
    </w:p>
    <w:p>
      <w:pPr>
        <w:pStyle w:val="ListParagraph"/>
        <w:numPr>
          <w:ilvl w:val="0"/>
          <w:numId w:val="2"/>
        </w:numPr>
        <w:spacing w:after="80"/>
      </w:pPr>
      <w:r>
        <w:rPr>
          <w:rFonts w:ascii="Arial" w:cs="Arial" w:eastAsia="Arial" w:hAnsi="Arial"/>
          <w:b/>
          <w:bCs/>
          <w:color w:val="0E1020"/>
          <w:sz w:val="20"/>
          <w:szCs w:val="20"/>
        </w:rPr>
        <w:t xml:space="preserve">Flow 2: Post-Validation Triage: </w:t>
      </w:r>
      <w:r>
        <w:rPr>
          <w:rFonts w:ascii="Arial" w:cs="Arial" w:eastAsia="Arial" w:hAnsi="Arial"/>
          <w:color w:val="0E1020"/>
          <w:sz w:val="20"/>
          <w:szCs w:val="20"/>
        </w:rPr>
        <w:t xml:space="preserve">Trigger: all required IDP entities marked validated. Steps: (1) Call triage evaluation API with case ID, (2) Write triage result to case record and workflow event, (3) Route to appropriate workspace queue based on touch level, (4) If STP, auto-approve and trigger Flow 3.</w:t>
      </w:r>
    </w:p>
    <w:p>
      <w:pPr>
        <w:pStyle w:val="ListParagraph"/>
        <w:numPr>
          <w:ilvl w:val="0"/>
          <w:numId w:val="2"/>
        </w:numPr>
        <w:spacing w:after="80"/>
      </w:pPr>
      <w:r>
        <w:rPr>
          <w:rFonts w:ascii="Arial" w:cs="Arial" w:eastAsia="Arial" w:hAnsi="Arial"/>
          <w:b/>
          <w:bCs/>
          <w:color w:val="0E1020"/>
          <w:sz w:val="20"/>
          <w:szCs w:val="20"/>
        </w:rPr>
        <w:t xml:space="preserve">Flow 3: Admin System Submission: </w:t>
      </w:r>
      <w:r>
        <w:rPr>
          <w:rFonts w:ascii="Arial" w:cs="Arial" w:eastAsia="Arial" w:hAnsi="Arial"/>
          <w:color w:val="0E1020"/>
          <w:sz w:val="20"/>
          <w:szCs w:val="20"/>
        </w:rPr>
        <w:t xml:space="preserve">Trigger: case status set to 'Approved'. Steps: (1) Look up API payload template from Transaction Type Registry, (2) Assemble payload from validated IDP entities and policy entities, (3) Submit to admin system API, (4) Write confirmation to workflow events, (5) Trigger correspondence flow.</w:t>
      </w:r>
    </w:p>
    <w:p>
      <w:pPr>
        <w:pStyle w:val="Heading2"/>
        <w:spacing w:before="280" w:after="160"/>
      </w:pPr>
      <w:r>
        <w:rPr>
          <w:rFonts w:ascii="Arial" w:cs="Arial" w:eastAsia="Arial" w:hAnsi="Arial"/>
          <w:b/>
          <w:bCs/>
          <w:color w:val="004AAC"/>
          <w:sz w:val="26"/>
          <w:szCs w:val="26"/>
        </w:rPr>
        <w:t xml:space="preserve">3.4 End-to-End Integration Test (Day 7)</w:t>
      </w:r>
    </w:p>
    <w:p>
      <w:pPr>
        <w:pStyle w:val="ListParagraph"/>
        <w:numPr>
          <w:ilvl w:val="0"/>
          <w:numId w:val="2"/>
        </w:numPr>
        <w:spacing w:after="80"/>
      </w:pPr>
      <w:r>
        <w:rPr>
          <w:rFonts w:ascii="Arial" w:cs="Arial" w:eastAsia="Arial" w:hAnsi="Arial"/>
          <w:b/>
          <w:bCs/>
          <w:color w:val="0E1020"/>
          <w:sz w:val="20"/>
          <w:szCs w:val="20"/>
        </w:rPr>
        <w:t xml:space="preserve">Test 1: </w:t>
      </w:r>
      <w:r>
        <w:rPr>
          <w:rFonts w:ascii="Arial" w:cs="Arial" w:eastAsia="Arial" w:hAnsi="Arial"/>
          <w:color w:val="0E1020"/>
          <w:sz w:val="20"/>
          <w:szCs w:val="20"/>
        </w:rPr>
        <w:t xml:space="preserve">Submit a loan request document through the case intake, verify IDP extraction populates entity records, validate fields in the UI, observe triage routing to moderate-touch workspace, approve, and confirm admin system submission flow triggers.</w:t>
      </w:r>
    </w:p>
    <w:p>
      <w:pPr>
        <w:pStyle w:val="ListParagraph"/>
        <w:numPr>
          <w:ilvl w:val="0"/>
          <w:numId w:val="2"/>
        </w:numPr>
        <w:spacing w:after="80"/>
      </w:pPr>
      <w:r>
        <w:rPr>
          <w:rFonts w:ascii="Arial" w:cs="Arial" w:eastAsia="Arial" w:hAnsi="Arial"/>
          <w:b/>
          <w:bCs/>
          <w:color w:val="0E1020"/>
          <w:sz w:val="20"/>
          <w:szCs w:val="20"/>
        </w:rPr>
        <w:t xml:space="preserve">Test 2: </w:t>
      </w:r>
      <w:r>
        <w:rPr>
          <w:rFonts w:ascii="Arial" w:cs="Arial" w:eastAsia="Arial" w:hAnsi="Arial"/>
          <w:color w:val="0E1020"/>
          <w:sz w:val="20"/>
          <w:szCs w:val="20"/>
        </w:rPr>
        <w:t xml:space="preserve">Submit a withdrawal request using the same framework, verify the Transaction Type Registry drives different IDP template, decision table, and form layout without code changes.</w:t>
      </w:r>
    </w:p>
    <w:p>
      <w:pPr>
        <w:pStyle w:val="ListParagraph"/>
        <w:numPr>
          <w:ilvl w:val="0"/>
          <w:numId w:val="2"/>
        </w:numPr>
        <w:spacing w:after="80"/>
      </w:pPr>
      <w:r>
        <w:rPr>
          <w:rFonts w:ascii="Arial" w:cs="Arial" w:eastAsia="Arial" w:hAnsi="Arial"/>
          <w:b/>
          <w:bCs/>
          <w:color w:val="0E1020"/>
          <w:sz w:val="20"/>
          <w:szCs w:val="20"/>
        </w:rPr>
        <w:t xml:space="preserve">Test 3: </w:t>
      </w:r>
      <w:r>
        <w:rPr>
          <w:rFonts w:ascii="Arial" w:cs="Arial" w:eastAsia="Arial" w:hAnsi="Arial"/>
          <w:color w:val="0E1020"/>
          <w:sz w:val="20"/>
          <w:szCs w:val="20"/>
        </w:rPr>
        <w:t xml:space="preserve">Open the Decision Table Builder, modify a loan triage rule, re-submit the loan test case, and verify the routing changes reflect the new configuration.</w:t>
      </w:r>
    </w:p>
    <w:p>
      <w:r>
        <w:br w:type="page"/>
      </w:r>
    </w:p>
    <w:p>
      <w:pPr>
        <w:pStyle w:val="Heading1"/>
        <w:spacing w:before="360" w:after="200"/>
      </w:pPr>
      <w:r>
        <w:rPr>
          <w:rFonts w:ascii="Arial" w:cs="Arial" w:eastAsia="Arial" w:hAnsi="Arial"/>
          <w:b/>
          <w:bCs/>
          <w:color w:val="0E1020"/>
          <w:sz w:val="32"/>
          <w:szCs w:val="32"/>
        </w:rPr>
        <w:t xml:space="preserve">4. Team Structure &amp;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1800"/>
        <w:gridCol w:w="1760"/>
      </w:tblGrid>
      <w:tr>
        <w:tc>
          <w:tcPr>
            <w:tcW w:type="dxa" w:w="18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6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Headcount</w:t>
            </w:r>
          </w:p>
        </w:tc>
        <w:tc>
          <w:tcPr>
            <w:tcW w:type="dxa" w:w="24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1 Focus</w:t>
            </w:r>
          </w:p>
        </w:tc>
        <w:tc>
          <w:tcPr>
            <w:tcW w:type="dxa" w:w="18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2 Focus</w:t>
            </w:r>
          </w:p>
        </w:tc>
        <w:tc>
          <w:tcPr>
            <w:tcW w:type="dxa" w:w="176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AI Tool Usage</w:t>
            </w:r>
          </w:p>
        </w:tc>
      </w:tr>
      <w:tr>
        <w:tc>
          <w:tcPr>
            <w:tcW w:type="dxa" w:w="18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UI Engineer (AI)</w:t>
            </w:r>
          </w:p>
        </w:tc>
        <w:tc>
          <w:tcPr>
            <w:tcW w:type="dxa" w:w="16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2–3</w:t>
            </w:r>
          </w:p>
        </w:tc>
        <w:tc>
          <w:tcPr>
            <w:tcW w:type="dxa" w:w="24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Generate all UI components via AI prompts, iterate on design</w:t>
            </w:r>
          </w:p>
        </w:tc>
        <w:tc>
          <w:tcPr>
            <w:tcW w:type="dxa" w:w="18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Port components to UI Builder</w:t>
            </w:r>
          </w:p>
        </w:tc>
        <w:tc>
          <w:tcPr>
            <w:tcW w:type="dxa" w:w="17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Primary driver</w:t>
            </w:r>
          </w:p>
        </w:tc>
      </w:tr>
      <w:tr>
        <w:tc>
          <w:tcPr>
            <w:tcW w:type="dxa" w:w="18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SN Platform Dev</w:t>
            </w:r>
          </w:p>
        </w:tc>
        <w:tc>
          <w:tcPr>
            <w:tcW w:type="dxa" w:w="16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2</w:t>
            </w:r>
          </w:p>
        </w:tc>
        <w:tc>
          <w:tcPr>
            <w:tcW w:type="dxa" w:w="24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Build ServiceNow tables, APIs, and Flow Designer flows in parallel</w:t>
            </w:r>
          </w:p>
        </w:tc>
        <w:tc>
          <w:tcPr>
            <w:tcW w:type="dxa" w:w="18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Wire UI to live data</w:t>
            </w:r>
          </w:p>
        </w:tc>
        <w:tc>
          <w:tcPr>
            <w:tcW w:type="dxa" w:w="17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API code generation</w:t>
            </w:r>
          </w:p>
        </w:tc>
      </w:tr>
      <w:tr>
        <w:tc>
          <w:tcPr>
            <w:tcW w:type="dxa" w:w="18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Data / IDP Specialist</w:t>
            </w:r>
          </w:p>
        </w:tc>
        <w:tc>
          <w:tcPr>
            <w:tcW w:type="dxa" w:w="16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1</w:t>
            </w:r>
          </w:p>
        </w:tc>
        <w:tc>
          <w:tcPr>
            <w:tcW w:type="dxa" w:w="24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Create mock data sets, sample forms, IDP extraction configs</w:t>
            </w:r>
          </w:p>
        </w:tc>
        <w:tc>
          <w:tcPr>
            <w:tcW w:type="dxa" w:w="18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Configure Assure IDP templates</w:t>
            </w:r>
          </w:p>
        </w:tc>
        <w:tc>
          <w:tcPr>
            <w:tcW w:type="dxa" w:w="17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Data generation</w:t>
            </w:r>
          </w:p>
        </w:tc>
      </w:tr>
      <w:tr>
        <w:tc>
          <w:tcPr>
            <w:tcW w:type="dxa" w:w="18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Solution Architect</w:t>
            </w:r>
          </w:p>
        </w:tc>
        <w:tc>
          <w:tcPr>
            <w:tcW w:type="dxa" w:w="16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1</w:t>
            </w:r>
          </w:p>
        </w:tc>
        <w:tc>
          <w:tcPr>
            <w:tcW w:type="dxa" w:w="24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Review AI output for BRD compliance, approve component designs</w:t>
            </w:r>
          </w:p>
        </w:tc>
        <w:tc>
          <w:tcPr>
            <w:tcW w:type="dxa" w:w="18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Integration architecture decisions</w:t>
            </w:r>
          </w:p>
        </w:tc>
        <w:tc>
          <w:tcPr>
            <w:tcW w:type="dxa" w:w="17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Prompt engineering</w:t>
            </w:r>
          </w:p>
        </w:tc>
      </w:tr>
      <w:tr>
        <w:tc>
          <w:tcPr>
            <w:tcW w:type="dxa" w:w="18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Demo Lead</w:t>
            </w:r>
          </w:p>
        </w:tc>
        <w:tc>
          <w:tcPr>
            <w:tcW w:type="dxa" w:w="16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1</w:t>
            </w:r>
          </w:p>
        </w:tc>
        <w:tc>
          <w:tcPr>
            <w:tcW w:type="dxa" w:w="24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Script demo scenarios, prepare presentation</w:t>
            </w:r>
          </w:p>
        </w:tc>
        <w:tc>
          <w:tcPr>
            <w:tcW w:type="dxa" w:w="18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End-to-end rehearsal</w:t>
            </w:r>
          </w:p>
        </w:tc>
        <w:tc>
          <w:tcPr>
            <w:tcW w:type="dxa" w:w="17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Content creation</w:t>
            </w:r>
          </w:p>
        </w:tc>
      </w:tr>
    </w:tbl>
    <w:p>
      <w:pPr>
        <w:spacing w:after="120"/>
      </w:pPr>
    </w:p>
    <w:p>
      <w:pPr>
        <w:pStyle w:val="Heading1"/>
        <w:spacing w:before="360" w:after="200"/>
      </w:pPr>
      <w:r>
        <w:rPr>
          <w:rFonts w:ascii="Arial" w:cs="Arial" w:eastAsia="Arial" w:hAnsi="Arial"/>
          <w:b/>
          <w:bCs/>
          <w:color w:val="0E1020"/>
          <w:sz w:val="32"/>
          <w:szCs w:val="32"/>
        </w:rPr>
        <w:t xml:space="preserve">5. AI Prompt Playbook</w:t>
      </w:r>
    </w:p>
    <w:p>
      <w:pPr>
        <w:spacing w:after="160"/>
      </w:pPr>
      <w:r>
        <w:rPr>
          <w:rFonts w:ascii="Arial" w:cs="Arial" w:eastAsia="Arial" w:hAnsi="Arial"/>
          <w:color w:val="0E1020"/>
          <w:sz w:val="20"/>
          <w:szCs w:val="20"/>
        </w:rPr>
        <w:t xml:space="preserve">The following prompt templates give the team a running start for each AI session. These are not prescriptive scripts; they are starting points that should be refined based on the AI's output in each session.</w:t>
      </w:r>
    </w:p>
    <w:p>
      <w:pPr>
        <w:pStyle w:val="Heading2"/>
        <w:spacing w:before="280" w:after="160"/>
      </w:pPr>
      <w:r>
        <w:rPr>
          <w:rFonts w:ascii="Arial" w:cs="Arial" w:eastAsia="Arial" w:hAnsi="Arial"/>
          <w:b/>
          <w:bCs/>
          <w:color w:val="004AAC"/>
          <w:sz w:val="26"/>
          <w:szCs w:val="26"/>
        </w:rPr>
        <w:t xml:space="preserve">5.1 Master Context Prompt (Use at Start of Every Session)</w:t>
      </w:r>
    </w:p>
    <w:p>
      <w:pPr>
        <w:spacing w:after="160"/>
      </w:pPr>
      <w:r>
        <w:rPr>
          <w:rFonts w:ascii="Arial" w:cs="Arial" w:eastAsia="Arial" w:hAnsi="Arial"/>
          <w:color w:val="0E1020"/>
          <w:sz w:val="20"/>
          <w:szCs w:val="20"/>
        </w:rPr>
        <w:t xml:space="preserve">Begin every AI session with this context block so the model understands the project scope:</w:t>
      </w:r>
    </w:p>
    <w:p>
      <w:pPr>
        <w:shd w:fill="F6F3F0" w:val="clear"/>
        <w:spacing w:after="160"/>
        <w:ind w:left="360" w:right="360"/>
      </w:pPr>
      <w:r>
        <w:rPr>
          <w:rFonts w:ascii="Arial" w:cs="Arial" w:eastAsia="Arial" w:hAnsi="Arial"/>
          <w:i/>
          <w:iCs/>
          <w:color w:val="0E1020"/>
          <w:sz w:val="18"/>
          <w:szCs w:val="18"/>
        </w:rPr>
        <w:t xml:space="preserve">"I am building a Loan &amp; Withdrawal Smart App for insurance policy servicing on ServiceNow FSO. The app processes financial transactions (loans, surrenders, RMDs, withdrawals) through a configurable framework with these layers: (1) Case Intake with document upload, (2) IDP data extraction with confidence scoring, (3) Entity validation comparing IDP data to policy system data, (4) Configurable triage engine using decision tables to route cases to STP / Low / Moderate / High touch processing, (5) Touch-level-specific processing workspaces, (6) Admin system integration. The UI consumes three entity classes: IDP-extracted entities, policy entities, and workflow history entities. I need you to build [COMPONENT NAME] as a React component using Tailwind CSS. Here is the mock data contract: [PASTE INTERFACES]. Here are the specific requirements: [PASTE BRD SECTION]."</w:t>
      </w:r>
    </w:p>
    <w:p>
      <w:pPr>
        <w:pStyle w:val="Heading2"/>
        <w:spacing w:before="280" w:after="160"/>
      </w:pPr>
      <w:r>
        <w:rPr>
          <w:rFonts w:ascii="Arial" w:cs="Arial" w:eastAsia="Arial" w:hAnsi="Arial"/>
          <w:b/>
          <w:bCs/>
          <w:color w:val="004AAC"/>
          <w:sz w:val="26"/>
          <w:szCs w:val="26"/>
        </w:rPr>
        <w:t xml:space="preserve">5.2 Component-Specific Prompt Starters</w:t>
      </w:r>
    </w:p>
    <w:p>
      <w:pPr>
        <w:pStyle w:val="Heading3"/>
        <w:spacing w:before="200" w:after="120"/>
      </w:pPr>
      <w:r>
        <w:rPr>
          <w:rFonts w:ascii="Arial" w:cs="Arial" w:eastAsia="Arial" w:hAnsi="Arial"/>
          <w:b/>
          <w:bCs/>
          <w:color w:val="0E1020"/>
          <w:sz w:val="22"/>
          <w:szCs w:val="22"/>
        </w:rPr>
        <w:t xml:space="preserve">Decision Table Builder</w:t>
      </w:r>
    </w:p>
    <w:p>
      <w:pPr>
        <w:spacing w:after="160"/>
      </w:pPr>
      <w:r>
        <w:rPr>
          <w:rFonts w:ascii="Arial" w:cs="Arial" w:eastAsia="Arial" w:hAnsi="Arial"/>
          <w:color w:val="0E1020"/>
          <w:sz w:val="20"/>
          <w:szCs w:val="20"/>
        </w:rPr>
        <w:t xml:space="preserve">"Build a three-panel Decision Table Builder. Left panel: entity field selector with three collapsible sections (IDP, Policy, Workflow) where fields are draggable chips. Center panel: spreadsheet-style rule grid where dropping a field adds a column with operator selector and value input; the last column is always 'Output Touch Level' with options STP/Low/Moderate/High. Right panel: test harness with input fields matching the current columns, an Evaluate button, and a result display showing matched rule and evaluation path. Seed the grid with these rules: [paste loan decision table from BRD]. Use color coding: STP=green, Low=blue, Moderate=gold, High=red."</w:t>
      </w:r>
    </w:p>
    <w:p>
      <w:pPr>
        <w:pStyle w:val="Heading3"/>
        <w:spacing w:before="200" w:after="120"/>
      </w:pPr>
      <w:r>
        <w:rPr>
          <w:rFonts w:ascii="Arial" w:cs="Arial" w:eastAsia="Arial" w:hAnsi="Arial"/>
          <w:b/>
          <w:bCs/>
          <w:color w:val="0E1020"/>
          <w:sz w:val="22"/>
          <w:szCs w:val="22"/>
        </w:rPr>
        <w:t xml:space="preserve">IDP Extraction Panel</w:t>
      </w:r>
    </w:p>
    <w:p>
      <w:pPr>
        <w:spacing w:after="160"/>
      </w:pPr>
      <w:r>
        <w:rPr>
          <w:rFonts w:ascii="Arial" w:cs="Arial" w:eastAsia="Arial" w:hAnsi="Arial"/>
          <w:color w:val="0E1020"/>
          <w:sz w:val="20"/>
          <w:szCs w:val="20"/>
        </w:rPr>
        <w:t xml:space="preserve">"Build a split-pane IDP extraction review screen. Left: document image viewer with zoom controls. Right: extracted entity list showing field name, value, and confidence score as a colored badge (green &gt;90%, yellow 70-90%, red &lt;70%). Include a cross-reference column comparing each IDP value to the corresponding policy entity value with match/mismatch/unavailable indicators. Add inline edit capability on each field and a bulk-approve button that accepts all fields above a configurable confidence threshold. Group the fields into sections: Identity, Financial, Payment, Tax. Here is my mock data: [paste]."</w:t>
      </w:r>
    </w:p>
    <w:p>
      <w:pPr>
        <w:pStyle w:val="Heading3"/>
        <w:spacing w:before="200" w:after="120"/>
      </w:pPr>
      <w:r>
        <w:rPr>
          <w:rFonts w:ascii="Arial" w:cs="Arial" w:eastAsia="Arial" w:hAnsi="Arial"/>
          <w:b/>
          <w:bCs/>
          <w:color w:val="0E1020"/>
          <w:sz w:val="22"/>
          <w:szCs w:val="22"/>
        </w:rPr>
        <w:t xml:space="preserve">Touch-Level Workspaces</w:t>
      </w:r>
    </w:p>
    <w:p>
      <w:pPr>
        <w:spacing w:after="160"/>
      </w:pPr>
      <w:r>
        <w:rPr>
          <w:rFonts w:ascii="Arial" w:cs="Arial" w:eastAsia="Arial" w:hAnsi="Arial"/>
          <w:color w:val="0E1020"/>
          <w:sz w:val="20"/>
          <w:szCs w:val="20"/>
        </w:rPr>
        <w:t xml:space="preserve">"Build three processing workspace variants for an insurance transaction approval system. All three share a Triage Summary Card at the top showing the routing decision and reason. Low-Touch: single summary card with approve/reject buttons, designed for one-click approval of high-confidence cases. Moderate-Touch: flagged items panel on left, validation checklist on right, approve button enables only when all items resolved. High-Touch: four-panel layout with document viewer (top-left), entity comparison table (top-right), financial calculator (bottom-left), and action/history panel (bottom-right). Here is my mock data for a policy loan: [paste]."</w:t>
      </w:r>
    </w:p>
    <w:p>
      <w:pPr>
        <w:pStyle w:val="Heading2"/>
        <w:spacing w:before="280" w:after="160"/>
      </w:pPr>
      <w:r>
        <w:rPr>
          <w:rFonts w:ascii="Arial" w:cs="Arial" w:eastAsia="Arial" w:hAnsi="Arial"/>
          <w:b/>
          <w:bCs/>
          <w:color w:val="004AAC"/>
          <w:sz w:val="26"/>
          <w:szCs w:val="26"/>
        </w:rPr>
        <w:t xml:space="preserve">5.3 AI Output Quality Gates</w:t>
      </w:r>
    </w:p>
    <w:p>
      <w:pPr>
        <w:spacing w:after="160"/>
      </w:pPr>
      <w:r>
        <w:rPr>
          <w:rFonts w:ascii="Arial" w:cs="Arial" w:eastAsia="Arial" w:hAnsi="Arial"/>
          <w:color w:val="0E1020"/>
          <w:sz w:val="20"/>
          <w:szCs w:val="20"/>
        </w:rPr>
        <w:t xml:space="preserve">Every AI-generated component must pass these checks before being accepted into the build:</w:t>
      </w:r>
    </w:p>
    <w:p>
      <w:pPr>
        <w:pStyle w:val="ListParagraph"/>
        <w:numPr>
          <w:ilvl w:val="0"/>
          <w:numId w:val="2"/>
        </w:numPr>
        <w:spacing w:after="80"/>
      </w:pPr>
      <w:r>
        <w:rPr>
          <w:rFonts w:ascii="Arial" w:cs="Arial" w:eastAsia="Arial" w:hAnsi="Arial"/>
          <w:b/>
          <w:bCs/>
          <w:color w:val="0E1020"/>
          <w:sz w:val="20"/>
          <w:szCs w:val="20"/>
        </w:rPr>
        <w:t xml:space="preserve">Functional completeness: </w:t>
      </w:r>
      <w:r>
        <w:rPr>
          <w:rFonts w:ascii="Arial" w:cs="Arial" w:eastAsia="Arial" w:hAnsi="Arial"/>
          <w:color w:val="0E1020"/>
          <w:sz w:val="20"/>
          <w:szCs w:val="20"/>
        </w:rPr>
        <w:t xml:space="preserve">Does the component implement all UI elements specified in the BRD section? Walk through the element list item by item.</w:t>
      </w:r>
    </w:p>
    <w:p>
      <w:pPr>
        <w:pStyle w:val="ListParagraph"/>
        <w:numPr>
          <w:ilvl w:val="0"/>
          <w:numId w:val="2"/>
        </w:numPr>
        <w:spacing w:after="80"/>
      </w:pPr>
      <w:r>
        <w:rPr>
          <w:rFonts w:ascii="Arial" w:cs="Arial" w:eastAsia="Arial" w:hAnsi="Arial"/>
          <w:b/>
          <w:bCs/>
          <w:color w:val="0E1020"/>
          <w:sz w:val="20"/>
          <w:szCs w:val="20"/>
        </w:rPr>
        <w:t xml:space="preserve">Data contract compliance: </w:t>
      </w:r>
      <w:r>
        <w:rPr>
          <w:rFonts w:ascii="Arial" w:cs="Arial" w:eastAsia="Arial" w:hAnsi="Arial"/>
          <w:color w:val="0E1020"/>
          <w:sz w:val="20"/>
          <w:szCs w:val="20"/>
        </w:rPr>
        <w:t xml:space="preserve">Does the component consume mock data through the standard interfaces? No hardcoded values in the render logic.</w:t>
      </w:r>
    </w:p>
    <w:p>
      <w:pPr>
        <w:pStyle w:val="ListParagraph"/>
        <w:numPr>
          <w:ilvl w:val="0"/>
          <w:numId w:val="2"/>
        </w:numPr>
        <w:spacing w:after="80"/>
      </w:pPr>
      <w:r>
        <w:rPr>
          <w:rFonts w:ascii="Arial" w:cs="Arial" w:eastAsia="Arial" w:hAnsi="Arial"/>
          <w:b/>
          <w:bCs/>
          <w:color w:val="0E1020"/>
          <w:sz w:val="20"/>
          <w:szCs w:val="20"/>
        </w:rPr>
        <w:t xml:space="preserve">Visual consistency: </w:t>
      </w:r>
      <w:r>
        <w:rPr>
          <w:rFonts w:ascii="Arial" w:cs="Arial" w:eastAsia="Arial" w:hAnsi="Arial"/>
          <w:color w:val="0E1020"/>
          <w:sz w:val="20"/>
          <w:szCs w:val="20"/>
        </w:rPr>
        <w:t xml:space="preserve">Does the component use the established color coding for touch levels, confidence scores, and entity sources? Check against the DXC brand palette.</w:t>
      </w:r>
    </w:p>
    <w:p>
      <w:pPr>
        <w:pStyle w:val="ListParagraph"/>
        <w:numPr>
          <w:ilvl w:val="0"/>
          <w:numId w:val="2"/>
        </w:numPr>
        <w:spacing w:after="80"/>
      </w:pPr>
      <w:r>
        <w:rPr>
          <w:rFonts w:ascii="Arial" w:cs="Arial" w:eastAsia="Arial" w:hAnsi="Arial"/>
          <w:b/>
          <w:bCs/>
          <w:color w:val="0E1020"/>
          <w:sz w:val="20"/>
          <w:szCs w:val="20"/>
        </w:rPr>
        <w:t xml:space="preserve">Interactive behavior: </w:t>
      </w:r>
      <w:r>
        <w:rPr>
          <w:rFonts w:ascii="Arial" w:cs="Arial" w:eastAsia="Arial" w:hAnsi="Arial"/>
          <w:color w:val="0E1020"/>
          <w:sz w:val="20"/>
          <w:szCs w:val="20"/>
        </w:rPr>
        <w:t xml:space="preserve">Do all buttons, dropdowns, and interactive elements produce the expected behavior? Test with edge cases (empty data, max values, all fields failing confidence).</w:t>
      </w:r>
    </w:p>
    <w:p>
      <w:pPr>
        <w:pStyle w:val="ListParagraph"/>
        <w:numPr>
          <w:ilvl w:val="0"/>
          <w:numId w:val="2"/>
        </w:numPr>
        <w:spacing w:after="80"/>
      </w:pPr>
      <w:r>
        <w:rPr>
          <w:rFonts w:ascii="Arial" w:cs="Arial" w:eastAsia="Arial" w:hAnsi="Arial"/>
          <w:b/>
          <w:bCs/>
          <w:color w:val="0E1020"/>
          <w:sz w:val="20"/>
          <w:szCs w:val="20"/>
        </w:rPr>
        <w:t xml:space="preserve">Responsiveness: </w:t>
      </w:r>
      <w:r>
        <w:rPr>
          <w:rFonts w:ascii="Arial" w:cs="Arial" w:eastAsia="Arial" w:hAnsi="Arial"/>
          <w:color w:val="0E1020"/>
          <w:sz w:val="20"/>
          <w:szCs w:val="20"/>
        </w:rPr>
        <w:t xml:space="preserve">Does the component render acceptably on a 1920x1080 display? The primary demo environment is a projected screen at that resolution.</w:t>
      </w:r>
    </w:p>
    <w:p>
      <w:r>
        <w:br w:type="page"/>
      </w:r>
    </w:p>
    <w:p>
      <w:pPr>
        <w:pStyle w:val="Heading1"/>
        <w:spacing w:before="360" w:after="200"/>
      </w:pPr>
      <w:r>
        <w:rPr>
          <w:rFonts w:ascii="Arial" w:cs="Arial" w:eastAsia="Arial" w:hAnsi="Arial"/>
          <w:b/>
          <w:bCs/>
          <w:color w:val="0E1020"/>
          <w:sz w:val="32"/>
          <w:szCs w:val="32"/>
        </w:rPr>
        <w:t xml:space="preserve">6. Consolidated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400"/>
        <w:gridCol w:w="1800"/>
        <w:gridCol w:w="1560"/>
      </w:tblGrid>
      <w:tr>
        <w:tc>
          <w:tcPr>
            <w:tcW w:type="dxa" w:w="10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16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Session</w:t>
            </w:r>
          </w:p>
        </w:tc>
        <w:tc>
          <w:tcPr>
            <w:tcW w:type="dxa" w:w="34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18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56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w:t>
            </w:r>
          </w:p>
        </w:tc>
      </w:tr>
      <w:tr>
        <w:tc>
          <w:tcPr>
            <w:tcW w:type="dxa" w:w="10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1</w:t>
            </w:r>
          </w:p>
        </w:tc>
        <w:tc>
          <w:tcPr>
            <w:tcW w:type="dxa" w:w="16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1A: Mock Data</w:t>
            </w:r>
          </w:p>
        </w:tc>
        <w:tc>
          <w:tcPr>
            <w:tcW w:type="dxa" w:w="34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TypeScript interfaces + 2 complete mock data sets + mock API service</w:t>
            </w:r>
          </w:p>
        </w:tc>
        <w:tc>
          <w:tcPr>
            <w:tcW w:type="dxa" w:w="18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Data Specialist + Architect</w:t>
            </w:r>
          </w:p>
        </w:tc>
        <w:tc>
          <w:tcPr>
            <w:tcW w:type="dxa" w:w="15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2</w:t>
            </w:r>
          </w:p>
        </w:tc>
      </w:tr>
      <w:tr>
        <w:tc>
          <w:tcPr>
            <w:tcW w:type="dxa" w:w="10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1</w:t>
            </w:r>
          </w:p>
        </w:tc>
        <w:tc>
          <w:tcPr>
            <w:tcW w:type="dxa" w:w="16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1B: IDP Panel</w:t>
            </w:r>
          </w:p>
        </w:tc>
        <w:tc>
          <w:tcPr>
            <w:tcW w:type="dxa" w:w="34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Working extraction + validation React component with confidence scoring</w:t>
            </w:r>
          </w:p>
        </w:tc>
        <w:tc>
          <w:tcPr>
            <w:tcW w:type="dxa" w:w="18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UI Engineer (AI)</w:t>
            </w:r>
          </w:p>
        </w:tc>
        <w:tc>
          <w:tcPr>
            <w:tcW w:type="dxa" w:w="15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3</w:t>
            </w:r>
          </w:p>
        </w:tc>
      </w:tr>
      <w:tr>
        <w:tc>
          <w:tcPr>
            <w:tcW w:type="dxa" w:w="10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1</w:t>
            </w:r>
          </w:p>
        </w:tc>
        <w:tc>
          <w:tcPr>
            <w:tcW w:type="dxa" w:w="16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1C: DT Builder</w:t>
            </w:r>
          </w:p>
        </w:tc>
        <w:tc>
          <w:tcPr>
            <w:tcW w:type="dxa" w:w="34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Three-panel Decision Table Builder with drag-and-drop, rule grid, test harness</w:t>
            </w:r>
          </w:p>
        </w:tc>
        <w:tc>
          <w:tcPr>
            <w:tcW w:type="dxa" w:w="18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UI Engineer (AI)</w:t>
            </w:r>
          </w:p>
        </w:tc>
        <w:tc>
          <w:tcPr>
            <w:tcW w:type="dxa" w:w="15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4</w:t>
            </w:r>
          </w:p>
        </w:tc>
      </w:tr>
      <w:tr>
        <w:tc>
          <w:tcPr>
            <w:tcW w:type="dxa" w:w="10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1</w:t>
            </w:r>
          </w:p>
        </w:tc>
        <w:tc>
          <w:tcPr>
            <w:tcW w:type="dxa" w:w="16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1 (Parallel)</w:t>
            </w:r>
          </w:p>
        </w:tc>
        <w:tc>
          <w:tcPr>
            <w:tcW w:type="dxa" w:w="34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ServiceNow table creation and seeding begins</w:t>
            </w:r>
          </w:p>
        </w:tc>
        <w:tc>
          <w:tcPr>
            <w:tcW w:type="dxa" w:w="18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SN Platform Dev</w:t>
            </w:r>
          </w:p>
        </w:tc>
        <w:tc>
          <w:tcPr>
            <w:tcW w:type="dxa" w:w="15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6</w:t>
            </w:r>
          </w:p>
        </w:tc>
      </w:tr>
      <w:tr>
        <w:tc>
          <w:tcPr>
            <w:tcW w:type="dxa" w:w="10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2</w:t>
            </w:r>
          </w:p>
        </w:tc>
        <w:tc>
          <w:tcPr>
            <w:tcW w:type="dxa" w:w="16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2A: Low Touch</w:t>
            </w:r>
          </w:p>
        </w:tc>
        <w:tc>
          <w:tcPr>
            <w:tcW w:type="dxa" w:w="34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Approval dashboard with summary card and one-click approve</w:t>
            </w:r>
          </w:p>
        </w:tc>
        <w:tc>
          <w:tcPr>
            <w:tcW w:type="dxa" w:w="18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UI Engineer (AI)</w:t>
            </w:r>
          </w:p>
        </w:tc>
        <w:tc>
          <w:tcPr>
            <w:tcW w:type="dxa" w:w="15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2</w:t>
            </w:r>
          </w:p>
        </w:tc>
      </w:tr>
      <w:tr>
        <w:tc>
          <w:tcPr>
            <w:tcW w:type="dxa" w:w="10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2</w:t>
            </w:r>
          </w:p>
        </w:tc>
        <w:tc>
          <w:tcPr>
            <w:tcW w:type="dxa" w:w="16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2B: Mod Touch</w:t>
            </w:r>
          </w:p>
        </w:tc>
        <w:tc>
          <w:tcPr>
            <w:tcW w:type="dxa" w:w="34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Review workspace with flagged items and validation checklist</w:t>
            </w:r>
          </w:p>
        </w:tc>
        <w:tc>
          <w:tcPr>
            <w:tcW w:type="dxa" w:w="18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UI Engineer (AI)</w:t>
            </w:r>
          </w:p>
        </w:tc>
        <w:tc>
          <w:tcPr>
            <w:tcW w:type="dxa" w:w="15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2.5</w:t>
            </w:r>
          </w:p>
        </w:tc>
      </w:tr>
      <w:tr>
        <w:tc>
          <w:tcPr>
            <w:tcW w:type="dxa" w:w="10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2</w:t>
            </w:r>
          </w:p>
        </w:tc>
        <w:tc>
          <w:tcPr>
            <w:tcW w:type="dxa" w:w="16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2C: High Touch</w:t>
            </w:r>
          </w:p>
        </w:tc>
        <w:tc>
          <w:tcPr>
            <w:tcW w:type="dxa" w:w="34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Four-panel workspace with document viewer, comparisons, calculator</w:t>
            </w:r>
          </w:p>
        </w:tc>
        <w:tc>
          <w:tcPr>
            <w:tcW w:type="dxa" w:w="18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UI Engineer (AI)</w:t>
            </w:r>
          </w:p>
        </w:tc>
        <w:tc>
          <w:tcPr>
            <w:tcW w:type="dxa" w:w="15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3</w:t>
            </w:r>
          </w:p>
        </w:tc>
      </w:tr>
      <w:tr>
        <w:tc>
          <w:tcPr>
            <w:tcW w:type="dxa" w:w="10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2</w:t>
            </w:r>
          </w:p>
        </w:tc>
        <w:tc>
          <w:tcPr>
            <w:tcW w:type="dxa" w:w="16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2D: Intake</w:t>
            </w:r>
          </w:p>
        </w:tc>
        <w:tc>
          <w:tcPr>
            <w:tcW w:type="dxa" w:w="34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Case creation form + document landing zone</w:t>
            </w:r>
          </w:p>
        </w:tc>
        <w:tc>
          <w:tcPr>
            <w:tcW w:type="dxa" w:w="18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UI Engineer (AI)</w:t>
            </w:r>
          </w:p>
        </w:tc>
        <w:tc>
          <w:tcPr>
            <w:tcW w:type="dxa" w:w="15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1.5</w:t>
            </w:r>
          </w:p>
        </w:tc>
      </w:tr>
      <w:tr>
        <w:tc>
          <w:tcPr>
            <w:tcW w:type="dxa" w:w="10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2</w:t>
            </w:r>
          </w:p>
        </w:tc>
        <w:tc>
          <w:tcPr>
            <w:tcW w:type="dxa" w:w="16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2 (Parallel)</w:t>
            </w:r>
          </w:p>
        </w:tc>
        <w:tc>
          <w:tcPr>
            <w:tcW w:type="dxa" w:w="34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Scripted REST APIs + Flow Designer flows</w:t>
            </w:r>
          </w:p>
        </w:tc>
        <w:tc>
          <w:tcPr>
            <w:tcW w:type="dxa" w:w="18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SN Platform Dev</w:t>
            </w:r>
          </w:p>
        </w:tc>
        <w:tc>
          <w:tcPr>
            <w:tcW w:type="dxa" w:w="15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8</w:t>
            </w:r>
          </w:p>
        </w:tc>
      </w:tr>
      <w:tr>
        <w:tc>
          <w:tcPr>
            <w:tcW w:type="dxa" w:w="10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3</w:t>
            </w:r>
          </w:p>
        </w:tc>
        <w:tc>
          <w:tcPr>
            <w:tcW w:type="dxa" w:w="16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3A: App Shell</w:t>
            </w:r>
          </w:p>
        </w:tc>
        <w:tc>
          <w:tcPr>
            <w:tcW w:type="dxa" w:w="34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Navigation shell connecting all components with routing</w:t>
            </w:r>
          </w:p>
        </w:tc>
        <w:tc>
          <w:tcPr>
            <w:tcW w:type="dxa" w:w="18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UI Engineer (AI)</w:t>
            </w:r>
          </w:p>
        </w:tc>
        <w:tc>
          <w:tcPr>
            <w:tcW w:type="dxa" w:w="15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2</w:t>
            </w:r>
          </w:p>
        </w:tc>
      </w:tr>
      <w:tr>
        <w:tc>
          <w:tcPr>
            <w:tcW w:type="dxa" w:w="10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3</w:t>
            </w:r>
          </w:p>
        </w:tc>
        <w:tc>
          <w:tcPr>
            <w:tcW w:type="dxa" w:w="16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3B: Triage Logic</w:t>
            </w:r>
          </w:p>
        </w:tc>
        <w:tc>
          <w:tcPr>
            <w:tcW w:type="dxa" w:w="34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JavaScript evaluation engine wired into application flow</w:t>
            </w:r>
          </w:p>
        </w:tc>
        <w:tc>
          <w:tcPr>
            <w:tcW w:type="dxa" w:w="18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UI Engineer (AI)</w:t>
            </w:r>
          </w:p>
        </w:tc>
        <w:tc>
          <w:tcPr>
            <w:tcW w:type="dxa" w:w="15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2</w:t>
            </w:r>
          </w:p>
        </w:tc>
      </w:tr>
      <w:tr>
        <w:tc>
          <w:tcPr>
            <w:tcW w:type="dxa" w:w="10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3</w:t>
            </w:r>
          </w:p>
        </w:tc>
        <w:tc>
          <w:tcPr>
            <w:tcW w:type="dxa" w:w="16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3C: Demo Script</w:t>
            </w:r>
          </w:p>
        </w:tc>
        <w:tc>
          <w:tcPr>
            <w:tcW w:type="dxa" w:w="34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Two complete demo scenarios with scripted data</w:t>
            </w:r>
          </w:p>
        </w:tc>
        <w:tc>
          <w:tcPr>
            <w:tcW w:type="dxa" w:w="18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Demo Lead + Architect</w:t>
            </w:r>
          </w:p>
        </w:tc>
        <w:tc>
          <w:tcPr>
            <w:tcW w:type="dxa" w:w="15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2</w:t>
            </w:r>
          </w:p>
        </w:tc>
      </w:tr>
      <w:tr>
        <w:tc>
          <w:tcPr>
            <w:tcW w:type="dxa" w:w="10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3</w:t>
            </w:r>
          </w:p>
        </w:tc>
        <w:tc>
          <w:tcPr>
            <w:tcW w:type="dxa" w:w="16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3D: Polish</w:t>
            </w:r>
          </w:p>
        </w:tc>
        <w:tc>
          <w:tcPr>
            <w:tcW w:type="dxa" w:w="34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Styling cleanup, loading states, error handling, screenshots</w:t>
            </w:r>
          </w:p>
        </w:tc>
        <w:tc>
          <w:tcPr>
            <w:tcW w:type="dxa" w:w="18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UI Team</w:t>
            </w:r>
          </w:p>
        </w:tc>
        <w:tc>
          <w:tcPr>
            <w:tcW w:type="dxa" w:w="15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2</w:t>
            </w:r>
          </w:p>
        </w:tc>
      </w:tr>
      <w:tr>
        <w:tc>
          <w:tcPr>
            <w:tcW w:type="dxa" w:w="10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4</w:t>
            </w:r>
          </w:p>
        </w:tc>
        <w:tc>
          <w:tcPr>
            <w:tcW w:type="dxa" w:w="16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SN Foundation</w:t>
            </w:r>
          </w:p>
        </w:tc>
        <w:tc>
          <w:tcPr>
            <w:tcW w:type="dxa" w:w="34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All tables, APIs, and flows tested independently</w:t>
            </w:r>
          </w:p>
        </w:tc>
        <w:tc>
          <w:tcPr>
            <w:tcW w:type="dxa" w:w="18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SN Platform Dev</w:t>
            </w:r>
          </w:p>
        </w:tc>
        <w:tc>
          <w:tcPr>
            <w:tcW w:type="dxa" w:w="15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8</w:t>
            </w:r>
          </w:p>
        </w:tc>
      </w:tr>
      <w:tr>
        <w:tc>
          <w:tcPr>
            <w:tcW w:type="dxa" w:w="10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5–6</w:t>
            </w:r>
          </w:p>
        </w:tc>
        <w:tc>
          <w:tcPr>
            <w:tcW w:type="dxa" w:w="16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UI Porting</w:t>
            </w:r>
          </w:p>
        </w:tc>
        <w:tc>
          <w:tcPr>
            <w:tcW w:type="dxa" w:w="34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AI components ported to UI Builder pages / embedded as custom widgets</w:t>
            </w:r>
          </w:p>
        </w:tc>
        <w:tc>
          <w:tcPr>
            <w:tcW w:type="dxa" w:w="18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UI Eng + SN Dev</w:t>
            </w:r>
          </w:p>
        </w:tc>
        <w:tc>
          <w:tcPr>
            <w:tcW w:type="dxa" w:w="15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16</w:t>
            </w:r>
          </w:p>
        </w:tc>
      </w:tr>
      <w:tr>
        <w:tc>
          <w:tcPr>
            <w:tcW w:type="dxa" w:w="10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7</w:t>
            </w:r>
          </w:p>
        </w:tc>
        <w:tc>
          <w:tcPr>
            <w:tcW w:type="dxa" w:w="16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Integration Test</w:t>
            </w:r>
          </w:p>
        </w:tc>
        <w:tc>
          <w:tcPr>
            <w:tcW w:type="dxa" w:w="34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End-to-end test with live ServiceNow instance</w:t>
            </w:r>
          </w:p>
        </w:tc>
        <w:tc>
          <w:tcPr>
            <w:tcW w:type="dxa" w:w="18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Full Team</w:t>
            </w:r>
          </w:p>
        </w:tc>
        <w:tc>
          <w:tcPr>
            <w:tcW w:type="dxa" w:w="15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8</w:t>
            </w:r>
          </w:p>
        </w:tc>
      </w:tr>
    </w:tbl>
    <w:p>
      <w:pPr>
        <w:spacing w:after="120"/>
      </w:pPr>
    </w:p>
    <w:p>
      <w:pPr>
        <w:spacing w:after="160"/>
      </w:pPr>
      <w:r>
        <w:rPr>
          <w:rFonts w:ascii="Arial" w:cs="Arial" w:eastAsia="Arial" w:hAnsi="Arial"/>
          <w:b/>
          <w:bCs/>
          <w:color w:val="0E1020"/>
          <w:sz w:val="20"/>
          <w:szCs w:val="20"/>
        </w:rPr>
        <w:t xml:space="preserve">Total Estimated Effort: </w:t>
      </w:r>
      <w:r>
        <w:rPr>
          <w:rFonts w:ascii="Arial" w:cs="Arial" w:eastAsia="Arial" w:hAnsi="Arial"/>
          <w:color w:val="0E1020"/>
          <w:sz w:val="20"/>
          <w:szCs w:val="20"/>
        </w:rPr>
        <w:t xml:space="preserve">~72 person-hours across 7 working days. Phase 1 (AI build) completes in 3 days and produces a fully demonstrable standalone application. Phase 2 (FSO integration) runs days 4–7 and can be extended if the hackathon scope is Phase 1 only.</w:t>
      </w:r>
    </w:p>
    <w:p>
      <w:pPr>
        <w:pStyle w:val="Heading1"/>
        <w:spacing w:before="360" w:after="200"/>
      </w:pPr>
      <w:r>
        <w:rPr>
          <w:rFonts w:ascii="Arial" w:cs="Arial" w:eastAsia="Arial" w:hAnsi="Arial"/>
          <w:b/>
          <w:bCs/>
          <w:color w:val="0E1020"/>
          <w:sz w:val="32"/>
          <w:szCs w:val="32"/>
        </w:rPr>
        <w:t xml:space="preserve">7. Key Decisions for Hackathon Kickoff</w:t>
      </w:r>
    </w:p>
    <w:p>
      <w:pPr>
        <w:spacing w:after="160"/>
      </w:pPr>
      <w:r>
        <w:rPr>
          <w:rFonts w:ascii="Arial" w:cs="Arial" w:eastAsia="Arial" w:hAnsi="Arial"/>
          <w:color w:val="0E1020"/>
          <w:sz w:val="20"/>
          <w:szCs w:val="20"/>
        </w:rPr>
        <w:t xml:space="preserve">The following decisions should be resolved before the hackathon begins to avoid mid-sprint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320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w:t>
            </w:r>
          </w:p>
        </w:tc>
        <w:tc>
          <w:tcPr>
            <w:tcW w:type="dxa" w:w="2960"/>
            <w:tcBorders>
              <w:top w:val="single" w:color="D0CCC7" w:sz="1"/>
              <w:left w:val="single" w:color="D0CCC7" w:sz="1"/>
              <w:bottom w:val="single" w:color="D0CCC7" w:sz="1"/>
              <w:right w:val="single" w:color="D0CCC7" w:sz="1"/>
            </w:tcBorders>
            <w:shd w:fill="004AAC"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r>
      <w:tr>
        <w:tc>
          <w:tcPr>
            <w:tcW w:type="dxa" w:w="3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AI tool selection</w:t>
            </w:r>
          </w:p>
        </w:tc>
        <w:tc>
          <w:tcPr>
            <w:tcW w:type="dxa" w:w="3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Claude (Claude.ai or API), GitHub Copilot, Cursor IDE</w:t>
            </w:r>
          </w:p>
        </w:tc>
        <w:tc>
          <w:tcPr>
            <w:tcW w:type="dxa" w:w="29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Claude for UI generation (best at full-component output); Copilot for inline code assist</w:t>
            </w:r>
          </w:p>
        </w:tc>
      </w:tr>
      <w:tr>
        <w:tc>
          <w:tcPr>
            <w:tcW w:type="dxa" w:w="3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DT Builder porting strategy</w:t>
            </w:r>
          </w:p>
        </w:tc>
        <w:tc>
          <w:tcPr>
            <w:tcW w:type="dxa" w:w="3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(A) Embed React as iframe in SN, (B) Rebuild natively in Now Experience</w:t>
            </w:r>
          </w:p>
        </w:tc>
        <w:tc>
          <w:tcPr>
            <w:tcW w:type="dxa" w:w="29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Option A for hackathon (speed); plan Option B for production roadmap</w:t>
            </w:r>
          </w:p>
        </w:tc>
      </w:tr>
      <w:tr>
        <w:tc>
          <w:tcPr>
            <w:tcW w:type="dxa" w:w="3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Hackathon scope boundary</w:t>
            </w:r>
          </w:p>
        </w:tc>
        <w:tc>
          <w:tcPr>
            <w:tcW w:type="dxa" w:w="3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(A) Phase 1 only (standalone demo), (B) Phase 1 + 2 (integrated FSO)</w:t>
            </w:r>
          </w:p>
        </w:tc>
        <w:tc>
          <w:tcPr>
            <w:tcW w:type="dxa" w:w="29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Phase 1 is the minimum viable demo. Attempt Phase 2 if team capacity allows.</w:t>
            </w:r>
          </w:p>
        </w:tc>
      </w:tr>
      <w:tr>
        <w:tc>
          <w:tcPr>
            <w:tcW w:type="dxa" w:w="3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Mock vs. live IDP</w:t>
            </w:r>
          </w:p>
        </w:tc>
        <w:tc>
          <w:tcPr>
            <w:tcW w:type="dxa" w:w="3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(A) Mock extraction results, (B) Live Assure IDP call</w:t>
            </w:r>
          </w:p>
        </w:tc>
        <w:tc>
          <w:tcPr>
            <w:tcW w:type="dxa" w:w="29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Mock for Phase 1; live for Phase 2 if IDP instance is available</w:t>
            </w:r>
          </w:p>
        </w:tc>
      </w:tr>
      <w:tr>
        <w:tc>
          <w:tcPr>
            <w:tcW w:type="dxa" w:w="3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bCs/>
                <w:color w:val="0E1020"/>
                <w:sz w:val="20"/>
                <w:szCs w:val="20"/>
              </w:rPr>
              <w:t xml:space="preserve">Admin system integration</w:t>
            </w:r>
          </w:p>
        </w:tc>
        <w:tc>
          <w:tcPr>
            <w:tcW w:type="dxa" w:w="320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(A) Mock API responses, (B) Connect to test admin system</w:t>
            </w:r>
          </w:p>
        </w:tc>
        <w:tc>
          <w:tcPr>
            <w:tcW w:type="dxa" w:w="2960"/>
            <w:tcBorders>
              <w:top w:val="single" w:color="D0CCC7" w:sz="1"/>
              <w:left w:val="single" w:color="D0CCC7" w:sz="1"/>
              <w:bottom w:val="single" w:color="D0CCC7" w:sz="1"/>
              <w:right w:val="single" w:color="D0CCC7" w:sz="1"/>
            </w:tcBorders>
            <w:shd w:fill="FFFFFF" w:val="clear"/>
            <w:tcMar>
              <w:top w:type="dxa" w:w="80"/>
              <w:left w:type="dxa" w:w="120"/>
              <w:bottom w:type="dxa" w:w="80"/>
              <w:right w:type="dxa" w:w="120"/>
            </w:tcMar>
          </w:tcPr>
          <w:p>
            <w:r>
              <w:rPr>
                <w:rFonts w:ascii="Arial" w:cs="Arial" w:eastAsia="Arial" w:hAnsi="Arial"/>
                <w:b w:val="false"/>
                <w:bCs w:val="false"/>
                <w:color w:val="0E1020"/>
                <w:sz w:val="20"/>
                <w:szCs w:val="20"/>
              </w:rPr>
              <w:t xml:space="preserve">Mock for both phases unless a test admin environment is pre-provisioned</w:t>
            </w:r>
          </w:p>
        </w:tc>
      </w:tr>
      <w:tr>
        <w:tc>
          <w:tcPr>
            <w:tcW w:type="dxa" w:w="3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bCs/>
                <w:color w:val="0E1020"/>
                <w:sz w:val="20"/>
                <w:szCs w:val="20"/>
              </w:rPr>
              <w:t xml:space="preserve">Demo presentation format</w:t>
            </w:r>
          </w:p>
        </w:tc>
        <w:tc>
          <w:tcPr>
            <w:tcW w:type="dxa" w:w="320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(A) Live demo only, (B) Recorded video + live Q&amp;A, (C) Slides with embedded live demo</w:t>
            </w:r>
          </w:p>
        </w:tc>
        <w:tc>
          <w:tcPr>
            <w:tcW w:type="dxa" w:w="2960"/>
            <w:tcBorders>
              <w:top w:val="single" w:color="D0CCC7" w:sz="1"/>
              <w:left w:val="single" w:color="D0CCC7" w:sz="1"/>
              <w:bottom w:val="single" w:color="D0CCC7" w:sz="1"/>
              <w:right w:val="single" w:color="D0CCC7" w:sz="1"/>
            </w:tcBorders>
            <w:shd w:fill="F6F3F0" w:val="clear"/>
            <w:tcMar>
              <w:top w:type="dxa" w:w="80"/>
              <w:left w:type="dxa" w:w="120"/>
              <w:bottom w:type="dxa" w:w="80"/>
              <w:right w:type="dxa" w:w="120"/>
            </w:tcMar>
          </w:tcPr>
          <w:p>
            <w:r>
              <w:rPr>
                <w:rFonts w:ascii="Arial" w:cs="Arial" w:eastAsia="Arial" w:hAnsi="Arial"/>
                <w:b w:val="false"/>
                <w:bCs w:val="false"/>
                <w:color w:val="0E1020"/>
                <w:sz w:val="20"/>
                <w:szCs w:val="20"/>
              </w:rPr>
              <w:t xml:space="preserve">Option C: slides set context, then live demo of the two scenarios</w:t>
            </w:r>
          </w:p>
        </w:tc>
      </w:tr>
    </w:tbl>
    <w:p>
      <w:pPr>
        <w:spacing w:after="120"/>
      </w:pPr>
    </w:p>
    <w:p>
      <w:pPr>
        <w:spacing w:after="400"/>
      </w:pPr>
    </w:p>
    <w:p>
      <w:pPr>
        <w:pBdr>
          <w:top w:val="single" w:color="D0CCC7" w:sz="2" w:space="8"/>
        </w:pBdr>
        <w:spacing w:before="200"/>
        <w:jc w:val="center"/>
      </w:pPr>
      <w:r>
        <w:rPr>
          <w:rFonts w:ascii="Arial" w:cs="Arial" w:eastAsia="Arial" w:hAnsi="Arial"/>
          <w:color w:val="999999"/>
          <w:sz w:val="16"/>
          <w:szCs w:val="16"/>
        </w:rPr>
        <w:t xml:space="preserve">© 2026 DXC Technology Company. All rights reserved.  |  DXC Internal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CCC7" w:sz="2" w:space="4"/>
      </w:pBdr>
      <w:spacing w:before="0"/>
    </w:pPr>
    <w:r>
      <w:rPr>
        <w:rFonts w:ascii="Arial" w:cs="Arial" w:eastAsia="Arial" w:hAnsi="Arial"/>
        <w:color w:val="AAAAAA"/>
        <w:sz w:val="14"/>
        <w:szCs w:val="14"/>
      </w:rPr>
      <w:t xml:space="preserve">DXC Internal  |  Version 1.0  |  February 2026</w:t>
    </w:r>
    <w:r>
      <w:ptab w:alignment="right" w:relativeTo="margin" w:leader="none"/>
    </w: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995FF" w:sz="4" w:space="4"/>
      </w:pBdr>
      <w:spacing w:after="0"/>
    </w:pPr>
    <w:r>
      <w:rPr>
        <w:rFonts w:ascii="Arial" w:cs="Arial" w:eastAsia="Arial" w:hAnsi="Arial"/>
        <w:color w:val="888888"/>
        <w:sz w:val="16"/>
        <w:szCs w:val="16"/>
      </w:rPr>
      <w:t xml:space="preserve">Loan &amp; Withdrawal Smart App  |  Development Plan</w:t>
    </w:r>
    <w:r>
      <w:ptab w:alignment="right" w:relativeTo="margin" w:leader="none"/>
    </w:r>
    <w:r>
      <w:rPr>
        <w:rFonts w:ascii="Arial" w:cs="Arial" w:eastAsia="Arial" w:hAnsi="Arial"/>
        <w:b/>
        <w:bCs/>
        <w:color w:val="004AAC"/>
        <w:sz w:val="16"/>
        <w:szCs w:val="16"/>
      </w:rPr>
      <w:t xml:space="preserve">DXC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E102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04AAC"/>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0E10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2026-02-21T23:34:44.574Z</dcterms:created>
  <dcterms:modified xsi:type="dcterms:W3CDTF">2026-02-21T23:34:44.575Z</dcterms:modified>
</cp:coreProperties>
</file>

<file path=docProps/custom.xml><?xml version="1.0" encoding="utf-8"?>
<Properties xmlns="http://schemas.openxmlformats.org/officeDocument/2006/custom-properties" xmlns:vt="http://schemas.openxmlformats.org/officeDocument/2006/docPropsVTypes"/>
</file>