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80"/>
        <w:jc w:val="center"/>
      </w:pPr>
      <w:r>
        <w:rPr>
          <w:rFonts w:ascii="Arial" w:cs="Arial" w:eastAsia="Arial" w:hAnsi="Arial"/>
          <w:b/>
          <w:bCs/>
          <w:color w:val="004AAC"/>
          <w:sz w:val="22"/>
          <w:szCs w:val="22"/>
        </w:rPr>
        <w:t xml:space="preserve">DXC Technology</w:t>
      </w:r>
    </w:p>
    <w:p>
      <w:pPr>
        <w:pBdr>
          <w:bottom w:val="single" w:color="4995FF" w:sz="4" w:space="8"/>
        </w:pBdr>
        <w:spacing w:after="40"/>
        <w:jc w:val="center"/>
      </w:pPr>
      <w:r>
        <w:rPr>
          <w:rFonts w:ascii="Arial" w:cs="Arial" w:eastAsia="Arial" w:hAnsi="Arial"/>
          <w:color w:val="0E1020"/>
          <w:sz w:val="20"/>
          <w:szCs w:val="20"/>
        </w:rPr>
        <w:t xml:space="preserve">Insurance Solutions | Smart Apps</w:t>
      </w:r>
    </w:p>
    <w:p>
      <w:pPr>
        <w:spacing w:after="400"/>
      </w:pPr>
    </w:p>
    <w:p>
      <w:pPr>
        <w:spacing w:after="120"/>
        <w:jc w:val="center"/>
      </w:pPr>
      <w:r>
        <w:rPr>
          <w:rFonts w:ascii="Arial" w:cs="Arial" w:eastAsia="Arial" w:hAnsi="Arial"/>
          <w:b/>
          <w:bCs/>
          <w:color w:val="0E1020"/>
          <w:sz w:val="40"/>
          <w:szCs w:val="40"/>
        </w:rPr>
        <w:t xml:space="preserve">BUSINESS REQUIREMENTS DOCUMENT</w:t>
      </w:r>
    </w:p>
    <w:p>
      <w:pPr>
        <w:spacing w:after="200"/>
        <w:jc w:val="center"/>
      </w:pPr>
      <w:r>
        <w:rPr>
          <w:rFonts w:ascii="Arial" w:cs="Arial" w:eastAsia="Arial" w:hAnsi="Arial"/>
          <w:b/>
          <w:bCs/>
          <w:color w:val="004AAC"/>
          <w:sz w:val="34"/>
          <w:szCs w:val="34"/>
        </w:rPr>
        <w:t xml:space="preserve">Loan &amp; Withdrawal Smart App</w:t>
      </w:r>
    </w:p>
    <w:p>
      <w:pPr>
        <w:spacing w:after="80"/>
        <w:jc w:val="center"/>
      </w:pPr>
      <w:r>
        <w:rPr>
          <w:rFonts w:ascii="Arial" w:cs="Arial" w:eastAsia="Arial" w:hAnsi="Arial"/>
          <w:color w:val="0E1020"/>
          <w:sz w:val="24"/>
          <w:szCs w:val="24"/>
        </w:rPr>
        <w:t xml:space="preserve">Configurable Financial Transaction Processing Framework</w:t>
      </w:r>
    </w:p>
    <w:p>
      <w:pPr>
        <w:spacing w:after="40"/>
        <w:jc w:val="center"/>
      </w:pPr>
      <w:r>
        <w:rPr>
          <w:rFonts w:ascii="Arial" w:cs="Arial" w:eastAsia="Arial" w:hAnsi="Arial"/>
          <w:color w:val="0E1020"/>
          <w:sz w:val="22"/>
          <w:szCs w:val="22"/>
        </w:rPr>
        <w:t xml:space="preserve">ServiceNow FSO Platform</w:t>
      </w:r>
    </w:p>
    <w:p>
      <w:pPr>
        <w:spacing w:after="600"/>
      </w:pPr>
    </w:p>
    <w:p>
      <w:pPr>
        <w:pBdr>
          <w:top w:val="single" w:color="D0CCC7" w:sz="2" w:space="8"/>
        </w:pBdr>
        <w:spacing w:after="80"/>
        <w:jc w:val="center"/>
      </w:pPr>
      <w:r>
        <w:rPr>
          <w:rFonts w:ascii="Arial" w:cs="Arial" w:eastAsia="Arial" w:hAnsi="Arial"/>
          <w:b/>
          <w:bCs/>
          <w:color w:val="FFAE41"/>
          <w:sz w:val="22"/>
          <w:szCs w:val="22"/>
        </w:rPr>
        <w:t xml:space="preserve">Hackathon Build Plan</w:t>
      </w:r>
    </w:p>
    <w:p>
      <w:pPr>
        <w:spacing w:after="40"/>
        <w:jc w:val="center"/>
      </w:pPr>
      <w:r>
        <w:rPr>
          <w:rFonts w:ascii="Arial" w:cs="Arial" w:eastAsia="Arial" w:hAnsi="Arial"/>
          <w:color w:val="0E1020"/>
          <w:sz w:val="20"/>
          <w:szCs w:val="20"/>
        </w:rPr>
        <w:t xml:space="preserve">Version 1.0  |  February 2026</w:t>
      </w:r>
    </w:p>
    <w:p>
      <w:pPr>
        <w:jc w:val="center"/>
      </w:pPr>
      <w:r>
        <w:rPr>
          <w:rFonts w:ascii="Arial" w:cs="Arial" w:eastAsia="Arial" w:hAnsi="Arial"/>
          <w:color w:val="888888"/>
          <w:sz w:val="18"/>
          <w:szCs w:val="18"/>
        </w:rPr>
        <w:t xml:space="preserve">DXC Internal</w:t>
      </w:r>
    </w:p>
    <w:p>
      <w:pPr>
        <w:spacing w:after="1200"/>
      </w:pPr>
    </w:p>
    <w:p>
      <w:pPr>
        <w:jc w:val="center"/>
      </w:pPr>
      <w:r>
        <w:rPr>
          <w:rFonts w:ascii="Arial" w:cs="Arial" w:eastAsia="Arial" w:hAnsi="Arial"/>
          <w:color w:val="999999"/>
          <w:sz w:val="16"/>
          <w:szCs w:val="16"/>
        </w:rPr>
        <w:t xml:space="preserve">© 2026 DXC Technology Company. All rights reserved.</w:t>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0E1020"/>
          <w:sz w:val="32"/>
          <w:szCs w:val="32"/>
        </w:rPr>
        <w:t xml:space="preserve">1. Executive Overview</w:t>
      </w:r>
    </w:p>
    <w:p>
      <w:pPr>
        <w:spacing w:after="160"/>
      </w:pPr>
      <w:r>
        <w:rPr>
          <w:rFonts w:ascii="Arial" w:cs="Arial" w:eastAsia="Arial" w:hAnsi="Arial"/>
          <w:color w:val="0E1020"/>
          <w:sz w:val="20"/>
          <w:szCs w:val="20"/>
        </w:rPr>
        <w:t xml:space="preserve">This BRD defines the UI layers, components, and configurable patterns required to build the Loan &amp; Withdrawal Smart App on ServiceNow FSO. The application serves as the foundational pattern for all form-based financial transactions in the L&amp;A Process Framework, including policy loans, full and partial surrenders, annuity RMDs, annuity single withdrawals, and life withdrawals.</w:t>
      </w:r>
    </w:p>
    <w:p>
      <w:pPr>
        <w:spacing w:after="160"/>
      </w:pPr>
      <w:r>
        <w:rPr>
          <w:rFonts w:ascii="Arial" w:cs="Arial" w:eastAsia="Arial" w:hAnsi="Arial"/>
          <w:color w:val="0E1020"/>
          <w:sz w:val="20"/>
          <w:szCs w:val="20"/>
        </w:rPr>
        <w:t xml:space="preserve">The hackathon team will build the Loan &amp; Withdrawal transaction type as the reference implementation. Once proven, this same configurable framework pattern will be reused for all financial transaction types listed above. The framework is explicitly designed so that adding a new transaction type requires only configuration of IDP extraction mappings, decision table rules, and form field layouts rather than new code.</w:t>
      </w:r>
    </w:p>
    <w:p>
      <w:pPr>
        <w:pStyle w:val="Heading2"/>
        <w:spacing w:before="280" w:after="160"/>
      </w:pPr>
      <w:r>
        <w:rPr>
          <w:rFonts w:ascii="Arial" w:cs="Arial" w:eastAsia="Arial" w:hAnsi="Arial"/>
          <w:b/>
          <w:bCs/>
          <w:color w:val="004AAC"/>
          <w:sz w:val="26"/>
          <w:szCs w:val="26"/>
        </w:rPr>
        <w:t xml:space="preserve">1.1 In-Scope Transaction Types</w:t>
      </w:r>
    </w:p>
    <w:p>
      <w:pPr>
        <w:spacing w:after="160"/>
      </w:pPr>
      <w:r>
        <w:rPr>
          <w:rFonts w:ascii="Arial" w:cs="Arial" w:eastAsia="Arial" w:hAnsi="Arial"/>
          <w:color w:val="0E1020"/>
          <w:sz w:val="20"/>
          <w:szCs w:val="20"/>
        </w:rPr>
        <w:t xml:space="preserve">The following transaction types are in scope because they share common characteristics: they are form-based, have an IDP extraction component, require triage decisioning, and follow a consistent touch-level processing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D0CCC7" w:sz="1"/>
              <w:left w:val="single" w:color="D0CCC7" w:sz="1"/>
              <w:bottom w:val="single" w:color="D0CCC7" w:sz="1"/>
              <w:right w:val="single" w:color="D0CCC7" w:sz="1"/>
            </w:tcBorders>
            <w:shd w:fill="004AAC" w:val="clear"/>
            <w:tcMar>
              <w:top w:type="dxa" w:w="80"/>
              <w:left w:type="dxa" w:w="120"/>
              <w:bottom w:type="dxa" w:w="80"/>
              <w:right w:type="dxa" w:w="120"/>
            </w:tcMar>
            <w:vAlign w:val="center"/>
          </w:tcPr>
          <w:p>
            <w:r>
              <w:rPr>
                <w:rFonts w:ascii="Arial" w:cs="Arial" w:eastAsia="Arial" w:hAnsi="Arial"/>
                <w:b/>
                <w:bCs/>
                <w:color w:val="FFFFFF"/>
                <w:sz w:val="20"/>
                <w:szCs w:val="20"/>
              </w:rPr>
              <w:t xml:space="preserve">Transaction Type</w:t>
            </w:r>
          </w:p>
        </w:tc>
        <w:tc>
          <w:tcPr>
            <w:tcW w:type="dxa" w:w="2200"/>
            <w:tcBorders>
              <w:top w:val="single" w:color="D0CCC7" w:sz="1"/>
              <w:left w:val="single" w:color="D0CCC7" w:sz="1"/>
              <w:bottom w:val="single" w:color="D0CCC7" w:sz="1"/>
              <w:right w:val="single" w:color="D0CCC7" w:sz="1"/>
            </w:tcBorders>
            <w:shd w:fill="004AAC" w:val="clear"/>
            <w:tcMar>
              <w:top w:type="dxa" w:w="80"/>
              <w:left w:type="dxa" w:w="120"/>
              <w:bottom w:type="dxa" w:w="80"/>
              <w:right w:type="dxa" w:w="120"/>
            </w:tcMar>
            <w:vAlign w:val="center"/>
          </w:tcPr>
          <w:p>
            <w:r>
              <w:rPr>
                <w:rFonts w:ascii="Arial" w:cs="Arial" w:eastAsia="Arial" w:hAnsi="Arial"/>
                <w:b/>
                <w:bCs/>
                <w:color w:val="FFFFFF"/>
                <w:sz w:val="20"/>
                <w:szCs w:val="20"/>
              </w:rPr>
              <w:t xml:space="preserve">Line of Business</w:t>
            </w:r>
          </w:p>
        </w:tc>
        <w:tc>
          <w:tcPr>
            <w:tcW w:type="dxa" w:w="2200"/>
            <w:tcBorders>
              <w:top w:val="single" w:color="D0CCC7" w:sz="1"/>
              <w:left w:val="single" w:color="D0CCC7" w:sz="1"/>
              <w:bottom w:val="single" w:color="D0CCC7" w:sz="1"/>
              <w:right w:val="single" w:color="D0CCC7" w:sz="1"/>
            </w:tcBorders>
            <w:shd w:fill="004AAC" w:val="clear"/>
            <w:tcMar>
              <w:top w:type="dxa" w:w="80"/>
              <w:left w:type="dxa" w:w="120"/>
              <w:bottom w:type="dxa" w:w="80"/>
              <w:right w:type="dxa" w:w="120"/>
            </w:tcMar>
            <w:vAlign w:val="center"/>
          </w:tcPr>
          <w:p>
            <w:r>
              <w:rPr>
                <w:rFonts w:ascii="Arial" w:cs="Arial" w:eastAsia="Arial" w:hAnsi="Arial"/>
                <w:b/>
                <w:bCs/>
                <w:color w:val="FFFFFF"/>
                <w:sz w:val="20"/>
                <w:szCs w:val="20"/>
              </w:rPr>
              <w:t xml:space="preserve">Form-Based</w:t>
            </w:r>
          </w:p>
        </w:tc>
        <w:tc>
          <w:tcPr>
            <w:tcW w:type="dxa" w:w="2160"/>
            <w:tcBorders>
              <w:top w:val="single" w:color="D0CCC7" w:sz="1"/>
              <w:left w:val="single" w:color="D0CCC7" w:sz="1"/>
              <w:bottom w:val="single" w:color="D0CCC7" w:sz="1"/>
              <w:right w:val="single" w:color="D0CCC7" w:sz="1"/>
            </w:tcBorders>
            <w:shd w:fill="004AAC" w:val="clear"/>
            <w:tcMar>
              <w:top w:type="dxa" w:w="80"/>
              <w:left w:type="dxa" w:w="120"/>
              <w:bottom w:type="dxa" w:w="80"/>
              <w:right w:type="dxa" w:w="120"/>
            </w:tcMar>
            <w:vAlign w:val="center"/>
          </w:tcPr>
          <w:p>
            <w:r>
              <w:rPr>
                <w:rFonts w:ascii="Arial" w:cs="Arial" w:eastAsia="Arial" w:hAnsi="Arial"/>
                <w:b/>
                <w:bCs/>
                <w:color w:val="FFFFFF"/>
                <w:sz w:val="20"/>
                <w:szCs w:val="20"/>
              </w:rPr>
              <w:t xml:space="preserve">IDP Required</w:t>
            </w:r>
          </w:p>
        </w:tc>
      </w:tr>
      <w:tr>
        <w:tc>
          <w:tcPr>
            <w:tcW w:type="dxa" w:w="280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val="false"/>
                <w:bCs w:val="false"/>
                <w:color w:val="0E1020"/>
                <w:sz w:val="20"/>
                <w:szCs w:val="20"/>
              </w:rPr>
              <w:t xml:space="preserve">Policy Loan</w:t>
            </w:r>
          </w:p>
        </w:tc>
        <w:tc>
          <w:tcPr>
            <w:tcW w:type="dxa" w:w="220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val="false"/>
                <w:bCs w:val="false"/>
                <w:color w:val="0E1020"/>
                <w:sz w:val="20"/>
                <w:szCs w:val="20"/>
              </w:rPr>
              <w:t xml:space="preserve">Life</w:t>
            </w:r>
          </w:p>
        </w:tc>
        <w:tc>
          <w:tcPr>
            <w:tcW w:type="dxa" w:w="220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val="false"/>
                <w:bCs w:val="false"/>
                <w:color w:val="0E1020"/>
                <w:sz w:val="20"/>
                <w:szCs w:val="20"/>
              </w:rPr>
              <w:t xml:space="preserve">Yes</w:t>
            </w:r>
          </w:p>
        </w:tc>
        <w:tc>
          <w:tcPr>
            <w:tcW w:type="dxa" w:w="216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val="false"/>
                <w:bCs w:val="false"/>
                <w:color w:val="0E1020"/>
                <w:sz w:val="20"/>
                <w:szCs w:val="20"/>
              </w:rPr>
              <w:t xml:space="preserve">Yes</w:t>
            </w:r>
          </w:p>
        </w:tc>
      </w:tr>
      <w:tr>
        <w:tc>
          <w:tcPr>
            <w:tcW w:type="dxa" w:w="2800"/>
            <w:tcBorders>
              <w:top w:val="single" w:color="D0CCC7" w:sz="1"/>
              <w:left w:val="single" w:color="D0CCC7" w:sz="1"/>
              <w:bottom w:val="single" w:color="D0CCC7" w:sz="1"/>
              <w:right w:val="single" w:color="D0CCC7" w:sz="1"/>
            </w:tcBorders>
            <w:shd w:fill="F6F3F0" w:val="clear"/>
            <w:tcMar>
              <w:top w:type="dxa" w:w="80"/>
              <w:left w:type="dxa" w:w="120"/>
              <w:bottom w:type="dxa" w:w="80"/>
              <w:right w:type="dxa" w:w="120"/>
            </w:tcMar>
          </w:tcPr>
          <w:p>
            <w:r>
              <w:rPr>
                <w:rFonts w:ascii="Arial" w:cs="Arial" w:eastAsia="Arial" w:hAnsi="Arial"/>
                <w:b w:val="false"/>
                <w:bCs w:val="false"/>
                <w:color w:val="0E1020"/>
                <w:sz w:val="20"/>
                <w:szCs w:val="20"/>
              </w:rPr>
              <w:t xml:space="preserve">Full Surrender</w:t>
            </w:r>
          </w:p>
        </w:tc>
        <w:tc>
          <w:tcPr>
            <w:tcW w:type="dxa" w:w="2200"/>
            <w:tcBorders>
              <w:top w:val="single" w:color="D0CCC7" w:sz="1"/>
              <w:left w:val="single" w:color="D0CCC7" w:sz="1"/>
              <w:bottom w:val="single" w:color="D0CCC7" w:sz="1"/>
              <w:right w:val="single" w:color="D0CCC7" w:sz="1"/>
            </w:tcBorders>
            <w:shd w:fill="F6F3F0" w:val="clear"/>
            <w:tcMar>
              <w:top w:type="dxa" w:w="80"/>
              <w:left w:type="dxa" w:w="120"/>
              <w:bottom w:type="dxa" w:w="80"/>
              <w:right w:type="dxa" w:w="120"/>
            </w:tcMar>
          </w:tcPr>
          <w:p>
            <w:r>
              <w:rPr>
                <w:rFonts w:ascii="Arial" w:cs="Arial" w:eastAsia="Arial" w:hAnsi="Arial"/>
                <w:b w:val="false"/>
                <w:bCs w:val="false"/>
                <w:color w:val="0E1020"/>
                <w:sz w:val="20"/>
                <w:szCs w:val="20"/>
              </w:rPr>
              <w:t xml:space="preserve">Life / Annuity</w:t>
            </w:r>
          </w:p>
        </w:tc>
        <w:tc>
          <w:tcPr>
            <w:tcW w:type="dxa" w:w="2200"/>
            <w:tcBorders>
              <w:top w:val="single" w:color="D0CCC7" w:sz="1"/>
              <w:left w:val="single" w:color="D0CCC7" w:sz="1"/>
              <w:bottom w:val="single" w:color="D0CCC7" w:sz="1"/>
              <w:right w:val="single" w:color="D0CCC7" w:sz="1"/>
            </w:tcBorders>
            <w:shd w:fill="F6F3F0" w:val="clear"/>
            <w:tcMar>
              <w:top w:type="dxa" w:w="80"/>
              <w:left w:type="dxa" w:w="120"/>
              <w:bottom w:type="dxa" w:w="80"/>
              <w:right w:type="dxa" w:w="120"/>
            </w:tcMar>
          </w:tcPr>
          <w:p>
            <w:r>
              <w:rPr>
                <w:rFonts w:ascii="Arial" w:cs="Arial" w:eastAsia="Arial" w:hAnsi="Arial"/>
                <w:b w:val="false"/>
                <w:bCs w:val="false"/>
                <w:color w:val="0E1020"/>
                <w:sz w:val="20"/>
                <w:szCs w:val="20"/>
              </w:rPr>
              <w:t xml:space="preserve">Yes</w:t>
            </w:r>
          </w:p>
        </w:tc>
        <w:tc>
          <w:tcPr>
            <w:tcW w:type="dxa" w:w="2160"/>
            <w:tcBorders>
              <w:top w:val="single" w:color="D0CCC7" w:sz="1"/>
              <w:left w:val="single" w:color="D0CCC7" w:sz="1"/>
              <w:bottom w:val="single" w:color="D0CCC7" w:sz="1"/>
              <w:right w:val="single" w:color="D0CCC7" w:sz="1"/>
            </w:tcBorders>
            <w:shd w:fill="F6F3F0" w:val="clear"/>
            <w:tcMar>
              <w:top w:type="dxa" w:w="80"/>
              <w:left w:type="dxa" w:w="120"/>
              <w:bottom w:type="dxa" w:w="80"/>
              <w:right w:type="dxa" w:w="120"/>
            </w:tcMar>
          </w:tcPr>
          <w:p>
            <w:r>
              <w:rPr>
                <w:rFonts w:ascii="Arial" w:cs="Arial" w:eastAsia="Arial" w:hAnsi="Arial"/>
                <w:b w:val="false"/>
                <w:bCs w:val="false"/>
                <w:color w:val="0E1020"/>
                <w:sz w:val="20"/>
                <w:szCs w:val="20"/>
              </w:rPr>
              <w:t xml:space="preserve">Yes</w:t>
            </w:r>
          </w:p>
        </w:tc>
      </w:tr>
      <w:tr>
        <w:tc>
          <w:tcPr>
            <w:tcW w:type="dxa" w:w="280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val="false"/>
                <w:bCs w:val="false"/>
                <w:color w:val="0E1020"/>
                <w:sz w:val="20"/>
                <w:szCs w:val="20"/>
              </w:rPr>
              <w:t xml:space="preserve">Partial Surrender</w:t>
            </w:r>
          </w:p>
        </w:tc>
        <w:tc>
          <w:tcPr>
            <w:tcW w:type="dxa" w:w="220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val="false"/>
                <w:bCs w:val="false"/>
                <w:color w:val="0E1020"/>
                <w:sz w:val="20"/>
                <w:szCs w:val="20"/>
              </w:rPr>
              <w:t xml:space="preserve">Life / Annuity</w:t>
            </w:r>
          </w:p>
        </w:tc>
        <w:tc>
          <w:tcPr>
            <w:tcW w:type="dxa" w:w="220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val="false"/>
                <w:bCs w:val="false"/>
                <w:color w:val="0E1020"/>
                <w:sz w:val="20"/>
                <w:szCs w:val="20"/>
              </w:rPr>
              <w:t xml:space="preserve">Yes</w:t>
            </w:r>
          </w:p>
        </w:tc>
        <w:tc>
          <w:tcPr>
            <w:tcW w:type="dxa" w:w="216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val="false"/>
                <w:bCs w:val="false"/>
                <w:color w:val="0E1020"/>
                <w:sz w:val="20"/>
                <w:szCs w:val="20"/>
              </w:rPr>
              <w:t xml:space="preserve">Yes</w:t>
            </w:r>
          </w:p>
        </w:tc>
      </w:tr>
      <w:tr>
        <w:tc>
          <w:tcPr>
            <w:tcW w:type="dxa" w:w="2800"/>
            <w:tcBorders>
              <w:top w:val="single" w:color="D0CCC7" w:sz="1"/>
              <w:left w:val="single" w:color="D0CCC7" w:sz="1"/>
              <w:bottom w:val="single" w:color="D0CCC7" w:sz="1"/>
              <w:right w:val="single" w:color="D0CCC7" w:sz="1"/>
            </w:tcBorders>
            <w:shd w:fill="F6F3F0" w:val="clear"/>
            <w:tcMar>
              <w:top w:type="dxa" w:w="80"/>
              <w:left w:type="dxa" w:w="120"/>
              <w:bottom w:type="dxa" w:w="80"/>
              <w:right w:type="dxa" w:w="120"/>
            </w:tcMar>
          </w:tcPr>
          <w:p>
            <w:r>
              <w:rPr>
                <w:rFonts w:ascii="Arial" w:cs="Arial" w:eastAsia="Arial" w:hAnsi="Arial"/>
                <w:b w:val="false"/>
                <w:bCs w:val="false"/>
                <w:color w:val="0E1020"/>
                <w:sz w:val="20"/>
                <w:szCs w:val="20"/>
              </w:rPr>
              <w:t xml:space="preserve">Annuity RMD</w:t>
            </w:r>
          </w:p>
        </w:tc>
        <w:tc>
          <w:tcPr>
            <w:tcW w:type="dxa" w:w="2200"/>
            <w:tcBorders>
              <w:top w:val="single" w:color="D0CCC7" w:sz="1"/>
              <w:left w:val="single" w:color="D0CCC7" w:sz="1"/>
              <w:bottom w:val="single" w:color="D0CCC7" w:sz="1"/>
              <w:right w:val="single" w:color="D0CCC7" w:sz="1"/>
            </w:tcBorders>
            <w:shd w:fill="F6F3F0" w:val="clear"/>
            <w:tcMar>
              <w:top w:type="dxa" w:w="80"/>
              <w:left w:type="dxa" w:w="120"/>
              <w:bottom w:type="dxa" w:w="80"/>
              <w:right w:type="dxa" w:w="120"/>
            </w:tcMar>
          </w:tcPr>
          <w:p>
            <w:r>
              <w:rPr>
                <w:rFonts w:ascii="Arial" w:cs="Arial" w:eastAsia="Arial" w:hAnsi="Arial"/>
                <w:b w:val="false"/>
                <w:bCs w:val="false"/>
                <w:color w:val="0E1020"/>
                <w:sz w:val="20"/>
                <w:szCs w:val="20"/>
              </w:rPr>
              <w:t xml:space="preserve">Annuity</w:t>
            </w:r>
          </w:p>
        </w:tc>
        <w:tc>
          <w:tcPr>
            <w:tcW w:type="dxa" w:w="2200"/>
            <w:tcBorders>
              <w:top w:val="single" w:color="D0CCC7" w:sz="1"/>
              <w:left w:val="single" w:color="D0CCC7" w:sz="1"/>
              <w:bottom w:val="single" w:color="D0CCC7" w:sz="1"/>
              <w:right w:val="single" w:color="D0CCC7" w:sz="1"/>
            </w:tcBorders>
            <w:shd w:fill="F6F3F0" w:val="clear"/>
            <w:tcMar>
              <w:top w:type="dxa" w:w="80"/>
              <w:left w:type="dxa" w:w="120"/>
              <w:bottom w:type="dxa" w:w="80"/>
              <w:right w:type="dxa" w:w="120"/>
            </w:tcMar>
          </w:tcPr>
          <w:p>
            <w:r>
              <w:rPr>
                <w:rFonts w:ascii="Arial" w:cs="Arial" w:eastAsia="Arial" w:hAnsi="Arial"/>
                <w:b w:val="false"/>
                <w:bCs w:val="false"/>
                <w:color w:val="0E1020"/>
                <w:sz w:val="20"/>
                <w:szCs w:val="20"/>
              </w:rPr>
              <w:t xml:space="preserve">Yes</w:t>
            </w:r>
          </w:p>
        </w:tc>
        <w:tc>
          <w:tcPr>
            <w:tcW w:type="dxa" w:w="2160"/>
            <w:tcBorders>
              <w:top w:val="single" w:color="D0CCC7" w:sz="1"/>
              <w:left w:val="single" w:color="D0CCC7" w:sz="1"/>
              <w:bottom w:val="single" w:color="D0CCC7" w:sz="1"/>
              <w:right w:val="single" w:color="D0CCC7" w:sz="1"/>
            </w:tcBorders>
            <w:shd w:fill="F6F3F0" w:val="clear"/>
            <w:tcMar>
              <w:top w:type="dxa" w:w="80"/>
              <w:left w:type="dxa" w:w="120"/>
              <w:bottom w:type="dxa" w:w="80"/>
              <w:right w:type="dxa" w:w="120"/>
            </w:tcMar>
          </w:tcPr>
          <w:p>
            <w:r>
              <w:rPr>
                <w:rFonts w:ascii="Arial" w:cs="Arial" w:eastAsia="Arial" w:hAnsi="Arial"/>
                <w:b w:val="false"/>
                <w:bCs w:val="false"/>
                <w:color w:val="0E1020"/>
                <w:sz w:val="20"/>
                <w:szCs w:val="20"/>
              </w:rPr>
              <w:t xml:space="preserve">Yes</w:t>
            </w:r>
          </w:p>
        </w:tc>
      </w:tr>
      <w:tr>
        <w:tc>
          <w:tcPr>
            <w:tcW w:type="dxa" w:w="280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val="false"/>
                <w:bCs w:val="false"/>
                <w:color w:val="0E1020"/>
                <w:sz w:val="20"/>
                <w:szCs w:val="20"/>
              </w:rPr>
              <w:t xml:space="preserve">Annuity Single Withdrawal</w:t>
            </w:r>
          </w:p>
        </w:tc>
        <w:tc>
          <w:tcPr>
            <w:tcW w:type="dxa" w:w="220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val="false"/>
                <w:bCs w:val="false"/>
                <w:color w:val="0E1020"/>
                <w:sz w:val="20"/>
                <w:szCs w:val="20"/>
              </w:rPr>
              <w:t xml:space="preserve">Annuity</w:t>
            </w:r>
          </w:p>
        </w:tc>
        <w:tc>
          <w:tcPr>
            <w:tcW w:type="dxa" w:w="220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val="false"/>
                <w:bCs w:val="false"/>
                <w:color w:val="0E1020"/>
                <w:sz w:val="20"/>
                <w:szCs w:val="20"/>
              </w:rPr>
              <w:t xml:space="preserve">Yes</w:t>
            </w:r>
          </w:p>
        </w:tc>
        <w:tc>
          <w:tcPr>
            <w:tcW w:type="dxa" w:w="216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val="false"/>
                <w:bCs w:val="false"/>
                <w:color w:val="0E1020"/>
                <w:sz w:val="20"/>
                <w:szCs w:val="20"/>
              </w:rPr>
              <w:t xml:space="preserve">Yes</w:t>
            </w:r>
          </w:p>
        </w:tc>
      </w:tr>
      <w:tr>
        <w:tc>
          <w:tcPr>
            <w:tcW w:type="dxa" w:w="2800"/>
            <w:tcBorders>
              <w:top w:val="single" w:color="D0CCC7" w:sz="1"/>
              <w:left w:val="single" w:color="D0CCC7" w:sz="1"/>
              <w:bottom w:val="single" w:color="D0CCC7" w:sz="1"/>
              <w:right w:val="single" w:color="D0CCC7" w:sz="1"/>
            </w:tcBorders>
            <w:shd w:fill="F6F3F0" w:val="clear"/>
            <w:tcMar>
              <w:top w:type="dxa" w:w="80"/>
              <w:left w:type="dxa" w:w="120"/>
              <w:bottom w:type="dxa" w:w="80"/>
              <w:right w:type="dxa" w:w="120"/>
            </w:tcMar>
          </w:tcPr>
          <w:p>
            <w:r>
              <w:rPr>
                <w:rFonts w:ascii="Arial" w:cs="Arial" w:eastAsia="Arial" w:hAnsi="Arial"/>
                <w:b w:val="false"/>
                <w:bCs w:val="false"/>
                <w:color w:val="0E1020"/>
                <w:sz w:val="20"/>
                <w:szCs w:val="20"/>
              </w:rPr>
              <w:t xml:space="preserve">Life Withdrawal</w:t>
            </w:r>
          </w:p>
        </w:tc>
        <w:tc>
          <w:tcPr>
            <w:tcW w:type="dxa" w:w="2200"/>
            <w:tcBorders>
              <w:top w:val="single" w:color="D0CCC7" w:sz="1"/>
              <w:left w:val="single" w:color="D0CCC7" w:sz="1"/>
              <w:bottom w:val="single" w:color="D0CCC7" w:sz="1"/>
              <w:right w:val="single" w:color="D0CCC7" w:sz="1"/>
            </w:tcBorders>
            <w:shd w:fill="F6F3F0" w:val="clear"/>
            <w:tcMar>
              <w:top w:type="dxa" w:w="80"/>
              <w:left w:type="dxa" w:w="120"/>
              <w:bottom w:type="dxa" w:w="80"/>
              <w:right w:type="dxa" w:w="120"/>
            </w:tcMar>
          </w:tcPr>
          <w:p>
            <w:r>
              <w:rPr>
                <w:rFonts w:ascii="Arial" w:cs="Arial" w:eastAsia="Arial" w:hAnsi="Arial"/>
                <w:b w:val="false"/>
                <w:bCs w:val="false"/>
                <w:color w:val="0E1020"/>
                <w:sz w:val="20"/>
                <w:szCs w:val="20"/>
              </w:rPr>
              <w:t xml:space="preserve">Life</w:t>
            </w:r>
          </w:p>
        </w:tc>
        <w:tc>
          <w:tcPr>
            <w:tcW w:type="dxa" w:w="2200"/>
            <w:tcBorders>
              <w:top w:val="single" w:color="D0CCC7" w:sz="1"/>
              <w:left w:val="single" w:color="D0CCC7" w:sz="1"/>
              <w:bottom w:val="single" w:color="D0CCC7" w:sz="1"/>
              <w:right w:val="single" w:color="D0CCC7" w:sz="1"/>
            </w:tcBorders>
            <w:shd w:fill="F6F3F0" w:val="clear"/>
            <w:tcMar>
              <w:top w:type="dxa" w:w="80"/>
              <w:left w:type="dxa" w:w="120"/>
              <w:bottom w:type="dxa" w:w="80"/>
              <w:right w:type="dxa" w:w="120"/>
            </w:tcMar>
          </w:tcPr>
          <w:p>
            <w:r>
              <w:rPr>
                <w:rFonts w:ascii="Arial" w:cs="Arial" w:eastAsia="Arial" w:hAnsi="Arial"/>
                <w:b w:val="false"/>
                <w:bCs w:val="false"/>
                <w:color w:val="0E1020"/>
                <w:sz w:val="20"/>
                <w:szCs w:val="20"/>
              </w:rPr>
              <w:t xml:space="preserve">Yes</w:t>
            </w:r>
          </w:p>
        </w:tc>
        <w:tc>
          <w:tcPr>
            <w:tcW w:type="dxa" w:w="2160"/>
            <w:tcBorders>
              <w:top w:val="single" w:color="D0CCC7" w:sz="1"/>
              <w:left w:val="single" w:color="D0CCC7" w:sz="1"/>
              <w:bottom w:val="single" w:color="D0CCC7" w:sz="1"/>
              <w:right w:val="single" w:color="D0CCC7" w:sz="1"/>
            </w:tcBorders>
            <w:shd w:fill="F6F3F0" w:val="clear"/>
            <w:tcMar>
              <w:top w:type="dxa" w:w="80"/>
              <w:left w:type="dxa" w:w="120"/>
              <w:bottom w:type="dxa" w:w="80"/>
              <w:right w:type="dxa" w:w="120"/>
            </w:tcMar>
          </w:tcPr>
          <w:p>
            <w:r>
              <w:rPr>
                <w:rFonts w:ascii="Arial" w:cs="Arial" w:eastAsia="Arial" w:hAnsi="Arial"/>
                <w:b w:val="false"/>
                <w:bCs w:val="false"/>
                <w:color w:val="0E1020"/>
                <w:sz w:val="20"/>
                <w:szCs w:val="20"/>
              </w:rPr>
              <w:t xml:space="preserve">Yes</w:t>
            </w:r>
          </w:p>
        </w:tc>
      </w:tr>
    </w:tbl>
    <w:p>
      <w:pPr>
        <w:spacing w:after="120"/>
      </w:pPr>
    </w:p>
    <w:p>
      <w:pPr>
        <w:pStyle w:val="Heading2"/>
        <w:spacing w:before="280" w:after="160"/>
      </w:pPr>
      <w:r>
        <w:rPr>
          <w:rFonts w:ascii="Arial" w:cs="Arial" w:eastAsia="Arial" w:hAnsi="Arial"/>
          <w:b/>
          <w:bCs/>
          <w:color w:val="004AAC"/>
          <w:sz w:val="26"/>
          <w:szCs w:val="26"/>
        </w:rPr>
        <w:t xml:space="preserve">1.2 Design Principles</w:t>
      </w:r>
    </w:p>
    <w:p>
      <w:pPr>
        <w:pStyle w:val="ListParagraph"/>
        <w:numPr>
          <w:ilvl w:val="0"/>
          <w:numId w:val="2"/>
        </w:numPr>
        <w:spacing w:after="80"/>
      </w:pPr>
      <w:r>
        <w:rPr>
          <w:rFonts w:ascii="Arial" w:cs="Arial" w:eastAsia="Arial" w:hAnsi="Arial"/>
          <w:b/>
          <w:bCs/>
          <w:color w:val="0E1020"/>
          <w:sz w:val="20"/>
          <w:szCs w:val="20"/>
        </w:rPr>
        <w:t xml:space="preserve">Configuration over code: </w:t>
      </w:r>
      <w:r>
        <w:rPr>
          <w:rFonts w:ascii="Arial" w:cs="Arial" w:eastAsia="Arial" w:hAnsi="Arial"/>
          <w:color w:val="0E1020"/>
          <w:sz w:val="20"/>
          <w:szCs w:val="20"/>
        </w:rPr>
        <w:t xml:space="preserve">New transaction types are onboarded through decision table configuration and IDP template mapping, not custom development.</w:t>
      </w:r>
    </w:p>
    <w:p>
      <w:pPr>
        <w:pStyle w:val="ListParagraph"/>
        <w:numPr>
          <w:ilvl w:val="0"/>
          <w:numId w:val="2"/>
        </w:numPr>
        <w:spacing w:after="80"/>
      </w:pPr>
      <w:r>
        <w:rPr>
          <w:rFonts w:ascii="Arial" w:cs="Arial" w:eastAsia="Arial" w:hAnsi="Arial"/>
          <w:b/>
          <w:bCs/>
          <w:color w:val="0E1020"/>
          <w:sz w:val="20"/>
          <w:szCs w:val="20"/>
        </w:rPr>
        <w:t xml:space="preserve">Entity-driven UI: </w:t>
      </w:r>
      <w:r>
        <w:rPr>
          <w:rFonts w:ascii="Arial" w:cs="Arial" w:eastAsia="Arial" w:hAnsi="Arial"/>
          <w:color w:val="0E1020"/>
          <w:sz w:val="20"/>
          <w:szCs w:val="20"/>
        </w:rPr>
        <w:t xml:space="preserve">All screens are composed from three entity classes (IDP-extracted, policy, and workflow history) that dynamically render based on transaction context.</w:t>
      </w:r>
    </w:p>
    <w:p>
      <w:pPr>
        <w:pStyle w:val="ListParagraph"/>
        <w:numPr>
          <w:ilvl w:val="0"/>
          <w:numId w:val="2"/>
        </w:numPr>
        <w:spacing w:after="80"/>
      </w:pPr>
      <w:r>
        <w:rPr>
          <w:rFonts w:ascii="Arial" w:cs="Arial" w:eastAsia="Arial" w:hAnsi="Arial"/>
          <w:b/>
          <w:bCs/>
          <w:color w:val="0E1020"/>
          <w:sz w:val="20"/>
          <w:szCs w:val="20"/>
        </w:rPr>
        <w:t xml:space="preserve">Reusable triage engine: </w:t>
      </w:r>
      <w:r>
        <w:rPr>
          <w:rFonts w:ascii="Arial" w:cs="Arial" w:eastAsia="Arial" w:hAnsi="Arial"/>
          <w:color w:val="0E1020"/>
          <w:sz w:val="20"/>
          <w:szCs w:val="20"/>
        </w:rPr>
        <w:t xml:space="preserve">A single, configurable triage component evaluates any transaction against decision tables to determine touch level.</w:t>
      </w:r>
    </w:p>
    <w:p>
      <w:pPr>
        <w:pStyle w:val="ListParagraph"/>
        <w:numPr>
          <w:ilvl w:val="0"/>
          <w:numId w:val="2"/>
        </w:numPr>
        <w:spacing w:after="80"/>
      </w:pPr>
      <w:r>
        <w:rPr>
          <w:rFonts w:ascii="Arial" w:cs="Arial" w:eastAsia="Arial" w:hAnsi="Arial"/>
          <w:b/>
          <w:bCs/>
          <w:color w:val="0E1020"/>
          <w:sz w:val="20"/>
          <w:szCs w:val="20"/>
        </w:rPr>
        <w:t xml:space="preserve">Standard touch-level workspaces: </w:t>
      </w:r>
      <w:r>
        <w:rPr>
          <w:rFonts w:ascii="Arial" w:cs="Arial" w:eastAsia="Arial" w:hAnsi="Arial"/>
          <w:color w:val="0E1020"/>
          <w:sz w:val="20"/>
          <w:szCs w:val="20"/>
        </w:rPr>
        <w:t xml:space="preserve">Low, moderate, and high-touch processing UIs are standardized across all transaction types.</w:t>
      </w:r>
    </w:p>
    <w:p>
      <w:r>
        <w:br w:type="page"/>
      </w:r>
    </w:p>
    <w:p>
      <w:pPr>
        <w:pStyle w:val="Heading1"/>
        <w:spacing w:before="360" w:after="200"/>
      </w:pPr>
      <w:r>
        <w:rPr>
          <w:rFonts w:ascii="Arial" w:cs="Arial" w:eastAsia="Arial" w:hAnsi="Arial"/>
          <w:b/>
          <w:bCs/>
          <w:color w:val="0E1020"/>
          <w:sz w:val="32"/>
          <w:szCs w:val="32"/>
        </w:rPr>
        <w:t xml:space="preserve">2. L&amp;A Process Framework Alignment</w:t>
      </w:r>
    </w:p>
    <w:p>
      <w:pPr>
        <w:spacing w:after="160"/>
      </w:pPr>
      <w:r>
        <w:rPr>
          <w:rFonts w:ascii="Arial" w:cs="Arial" w:eastAsia="Arial" w:hAnsi="Arial"/>
          <w:color w:val="0E1020"/>
          <w:sz w:val="20"/>
          <w:szCs w:val="20"/>
        </w:rPr>
        <w:t xml:space="preserve">The Loan &amp; Withdrawal Smart App maps directly to each horizontal layer of the L&amp;A Process Framework. This section traces each framework layer to the specific UI component or capability the hackathon team will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D0CCC7" w:sz="1"/>
              <w:left w:val="single" w:color="D0CCC7" w:sz="1"/>
              <w:bottom w:val="single" w:color="D0CCC7" w:sz="1"/>
              <w:right w:val="single" w:color="D0CCC7" w:sz="1"/>
            </w:tcBorders>
            <w:shd w:fill="004AAC" w:val="clear"/>
            <w:tcMar>
              <w:top w:type="dxa" w:w="80"/>
              <w:left w:type="dxa" w:w="120"/>
              <w:bottom w:type="dxa" w:w="80"/>
              <w:right w:type="dxa" w:w="120"/>
            </w:tcMar>
            <w:vAlign w:val="center"/>
          </w:tcPr>
          <w:p>
            <w:r>
              <w:rPr>
                <w:rFonts w:ascii="Arial" w:cs="Arial" w:eastAsia="Arial" w:hAnsi="Arial"/>
                <w:b/>
                <w:bCs/>
                <w:color w:val="FFFFFF"/>
                <w:sz w:val="20"/>
                <w:szCs w:val="20"/>
              </w:rPr>
              <w:t xml:space="preserve">Framework Layer</w:t>
            </w:r>
          </w:p>
        </w:tc>
        <w:tc>
          <w:tcPr>
            <w:tcW w:type="dxa" w:w="3680"/>
            <w:tcBorders>
              <w:top w:val="single" w:color="D0CCC7" w:sz="1"/>
              <w:left w:val="single" w:color="D0CCC7" w:sz="1"/>
              <w:bottom w:val="single" w:color="D0CCC7" w:sz="1"/>
              <w:right w:val="single" w:color="D0CCC7" w:sz="1"/>
            </w:tcBorders>
            <w:shd w:fill="004AAC" w:val="clear"/>
            <w:tcMar>
              <w:top w:type="dxa" w:w="80"/>
              <w:left w:type="dxa" w:w="120"/>
              <w:bottom w:type="dxa" w:w="80"/>
              <w:right w:type="dxa" w:w="120"/>
            </w:tcMar>
            <w:vAlign w:val="center"/>
          </w:tcPr>
          <w:p>
            <w:r>
              <w:rPr>
                <w:rFonts w:ascii="Arial" w:cs="Arial" w:eastAsia="Arial" w:hAnsi="Arial"/>
                <w:b/>
                <w:bCs/>
                <w:color w:val="FFFFFF"/>
                <w:sz w:val="20"/>
                <w:szCs w:val="20"/>
              </w:rPr>
              <w:t xml:space="preserve">Framework Function</w:t>
            </w:r>
          </w:p>
        </w:tc>
        <w:tc>
          <w:tcPr>
            <w:tcW w:type="dxa" w:w="3680"/>
            <w:tcBorders>
              <w:top w:val="single" w:color="D0CCC7" w:sz="1"/>
              <w:left w:val="single" w:color="D0CCC7" w:sz="1"/>
              <w:bottom w:val="single" w:color="D0CCC7" w:sz="1"/>
              <w:right w:val="single" w:color="D0CCC7" w:sz="1"/>
            </w:tcBorders>
            <w:shd w:fill="004AAC" w:val="clear"/>
            <w:tcMar>
              <w:top w:type="dxa" w:w="80"/>
              <w:left w:type="dxa" w:w="120"/>
              <w:bottom w:type="dxa" w:w="80"/>
              <w:right w:type="dxa" w:w="120"/>
            </w:tcMar>
            <w:vAlign w:val="center"/>
          </w:tcPr>
          <w:p>
            <w:r>
              <w:rPr>
                <w:rFonts w:ascii="Arial" w:cs="Arial" w:eastAsia="Arial" w:hAnsi="Arial"/>
                <w:b/>
                <w:bCs/>
                <w:color w:val="FFFFFF"/>
                <w:sz w:val="20"/>
                <w:szCs w:val="20"/>
              </w:rPr>
              <w:t xml:space="preserve">Smart App Component</w:t>
            </w:r>
          </w:p>
        </w:tc>
      </w:tr>
      <w:tr>
        <w:tc>
          <w:tcPr>
            <w:tcW w:type="dxa" w:w="200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bCs/>
                <w:color w:val="0E1020"/>
                <w:sz w:val="20"/>
                <w:szCs w:val="20"/>
              </w:rPr>
              <w:t xml:space="preserve">Customer Channels</w:t>
            </w:r>
          </w:p>
        </w:tc>
        <w:tc>
          <w:tcPr>
            <w:tcW w:type="dxa" w:w="368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val="false"/>
                <w:bCs w:val="false"/>
                <w:color w:val="0E1020"/>
                <w:sz w:val="20"/>
                <w:szCs w:val="20"/>
              </w:rPr>
              <w:t xml:space="preserve">Portal, Mail/Fax, Call Center, Event/Integration, AWD, IVR</w:t>
            </w:r>
          </w:p>
        </w:tc>
        <w:tc>
          <w:tcPr>
            <w:tcW w:type="dxa" w:w="368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val="false"/>
                <w:bCs w:val="false"/>
                <w:color w:val="0E1020"/>
                <w:sz w:val="20"/>
                <w:szCs w:val="20"/>
              </w:rPr>
              <w:t xml:space="preserve">Intake Channel Classifier: tags inbound source and routes to case creation</w:t>
            </w:r>
          </w:p>
        </w:tc>
      </w:tr>
      <w:tr>
        <w:tc>
          <w:tcPr>
            <w:tcW w:type="dxa" w:w="2000"/>
            <w:tcBorders>
              <w:top w:val="single" w:color="D0CCC7" w:sz="1"/>
              <w:left w:val="single" w:color="D0CCC7" w:sz="1"/>
              <w:bottom w:val="single" w:color="D0CCC7" w:sz="1"/>
              <w:right w:val="single" w:color="D0CCC7" w:sz="1"/>
            </w:tcBorders>
            <w:shd w:fill="F6F3F0" w:val="clear"/>
            <w:tcMar>
              <w:top w:type="dxa" w:w="80"/>
              <w:left w:type="dxa" w:w="120"/>
              <w:bottom w:type="dxa" w:w="80"/>
              <w:right w:type="dxa" w:w="120"/>
            </w:tcMar>
          </w:tcPr>
          <w:p>
            <w:r>
              <w:rPr>
                <w:rFonts w:ascii="Arial" w:cs="Arial" w:eastAsia="Arial" w:hAnsi="Arial"/>
                <w:b/>
                <w:bCs/>
                <w:color w:val="0E1020"/>
                <w:sz w:val="20"/>
                <w:szCs w:val="20"/>
              </w:rPr>
              <w:t xml:space="preserve">Assure Smart App (FSO)</w:t>
            </w:r>
          </w:p>
        </w:tc>
        <w:tc>
          <w:tcPr>
            <w:tcW w:type="dxa" w:w="3680"/>
            <w:tcBorders>
              <w:top w:val="single" w:color="D0CCC7" w:sz="1"/>
              <w:left w:val="single" w:color="D0CCC7" w:sz="1"/>
              <w:bottom w:val="single" w:color="D0CCC7" w:sz="1"/>
              <w:right w:val="single" w:color="D0CCC7" w:sz="1"/>
            </w:tcBorders>
            <w:shd w:fill="F6F3F0" w:val="clear"/>
            <w:tcMar>
              <w:top w:type="dxa" w:w="80"/>
              <w:left w:type="dxa" w:w="120"/>
              <w:bottom w:type="dxa" w:w="80"/>
              <w:right w:type="dxa" w:w="120"/>
            </w:tcMar>
          </w:tcPr>
          <w:p>
            <w:r>
              <w:rPr>
                <w:rFonts w:ascii="Arial" w:cs="Arial" w:eastAsia="Arial" w:hAnsi="Arial"/>
                <w:b w:val="false"/>
                <w:bCs w:val="false"/>
                <w:color w:val="0E1020"/>
                <w:sz w:val="20"/>
                <w:szCs w:val="20"/>
              </w:rPr>
              <w:t xml:space="preserve">Enter Smart App, define case type, documents land in DMS</w:t>
            </w:r>
          </w:p>
        </w:tc>
        <w:tc>
          <w:tcPr>
            <w:tcW w:type="dxa" w:w="3680"/>
            <w:tcBorders>
              <w:top w:val="single" w:color="D0CCC7" w:sz="1"/>
              <w:left w:val="single" w:color="D0CCC7" w:sz="1"/>
              <w:bottom w:val="single" w:color="D0CCC7" w:sz="1"/>
              <w:right w:val="single" w:color="D0CCC7" w:sz="1"/>
            </w:tcBorders>
            <w:shd w:fill="F6F3F0" w:val="clear"/>
            <w:tcMar>
              <w:top w:type="dxa" w:w="80"/>
              <w:left w:type="dxa" w:w="120"/>
              <w:bottom w:type="dxa" w:w="80"/>
              <w:right w:type="dxa" w:w="120"/>
            </w:tcMar>
          </w:tcPr>
          <w:p>
            <w:r>
              <w:rPr>
                <w:rFonts w:ascii="Arial" w:cs="Arial" w:eastAsia="Arial" w:hAnsi="Arial"/>
                <w:b w:val="false"/>
                <w:bCs w:val="false"/>
                <w:color w:val="0E1020"/>
                <w:sz w:val="20"/>
                <w:szCs w:val="20"/>
              </w:rPr>
              <w:t xml:space="preserve">Case Shell &amp; Document Landing: transaction-specific case creation with DMS integration</w:t>
            </w:r>
          </w:p>
        </w:tc>
      </w:tr>
      <w:tr>
        <w:tc>
          <w:tcPr>
            <w:tcW w:type="dxa" w:w="200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bCs/>
                <w:color w:val="0E1020"/>
                <w:sz w:val="20"/>
                <w:szCs w:val="20"/>
              </w:rPr>
              <w:t xml:space="preserve">Assure Services</w:t>
            </w:r>
          </w:p>
        </w:tc>
        <w:tc>
          <w:tcPr>
            <w:tcW w:type="dxa" w:w="368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val="false"/>
                <w:bCs w:val="false"/>
                <w:color w:val="0E1020"/>
                <w:sz w:val="20"/>
                <w:szCs w:val="20"/>
              </w:rPr>
              <w:t xml:space="preserve">IDP Service for Mail/Fax, extract data, user validates, agents assist</w:t>
            </w:r>
          </w:p>
        </w:tc>
        <w:tc>
          <w:tcPr>
            <w:tcW w:type="dxa" w:w="368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val="false"/>
                <w:bCs w:val="false"/>
                <w:color w:val="0E1020"/>
                <w:sz w:val="20"/>
                <w:szCs w:val="20"/>
              </w:rPr>
              <w:t xml:space="preserve">IDP Extraction &amp; Validation UI: entity extraction, confidence scoring, human review</w:t>
            </w:r>
          </w:p>
        </w:tc>
      </w:tr>
      <w:tr>
        <w:tc>
          <w:tcPr>
            <w:tcW w:type="dxa" w:w="2000"/>
            <w:tcBorders>
              <w:top w:val="single" w:color="D0CCC7" w:sz="1"/>
              <w:left w:val="single" w:color="D0CCC7" w:sz="1"/>
              <w:bottom w:val="single" w:color="D0CCC7" w:sz="1"/>
              <w:right w:val="single" w:color="D0CCC7" w:sz="1"/>
            </w:tcBorders>
            <w:shd w:fill="F6F3F0" w:val="clear"/>
            <w:tcMar>
              <w:top w:type="dxa" w:w="80"/>
              <w:left w:type="dxa" w:w="120"/>
              <w:bottom w:type="dxa" w:w="80"/>
              <w:right w:type="dxa" w:w="120"/>
            </w:tcMar>
          </w:tcPr>
          <w:p>
            <w:r>
              <w:rPr>
                <w:rFonts w:ascii="Arial" w:cs="Arial" w:eastAsia="Arial" w:hAnsi="Arial"/>
                <w:b/>
                <w:bCs/>
                <w:color w:val="0E1020"/>
                <w:sz w:val="20"/>
                <w:szCs w:val="20"/>
              </w:rPr>
              <w:t xml:space="preserve">Rule Engine / Routing</w:t>
            </w:r>
          </w:p>
        </w:tc>
        <w:tc>
          <w:tcPr>
            <w:tcW w:type="dxa" w:w="3680"/>
            <w:tcBorders>
              <w:top w:val="single" w:color="D0CCC7" w:sz="1"/>
              <w:left w:val="single" w:color="D0CCC7" w:sz="1"/>
              <w:bottom w:val="single" w:color="D0CCC7" w:sz="1"/>
              <w:right w:val="single" w:color="D0CCC7" w:sz="1"/>
            </w:tcBorders>
            <w:shd w:fill="F6F3F0" w:val="clear"/>
            <w:tcMar>
              <w:top w:type="dxa" w:w="80"/>
              <w:left w:type="dxa" w:w="120"/>
              <w:bottom w:type="dxa" w:w="80"/>
              <w:right w:type="dxa" w:w="120"/>
            </w:tcMar>
          </w:tcPr>
          <w:p>
            <w:r>
              <w:rPr>
                <w:rFonts w:ascii="Arial" w:cs="Arial" w:eastAsia="Arial" w:hAnsi="Arial"/>
                <w:b w:val="false"/>
                <w:bCs w:val="false"/>
                <w:color w:val="0E1020"/>
                <w:sz w:val="20"/>
                <w:szCs w:val="20"/>
              </w:rPr>
              <w:t xml:space="preserve">Determine touch level, triage by complexity / dollar / completeness / risk</w:t>
            </w:r>
          </w:p>
        </w:tc>
        <w:tc>
          <w:tcPr>
            <w:tcW w:type="dxa" w:w="3680"/>
            <w:tcBorders>
              <w:top w:val="single" w:color="D0CCC7" w:sz="1"/>
              <w:left w:val="single" w:color="D0CCC7" w:sz="1"/>
              <w:bottom w:val="single" w:color="D0CCC7" w:sz="1"/>
              <w:right w:val="single" w:color="D0CCC7" w:sz="1"/>
            </w:tcBorders>
            <w:shd w:fill="F6F3F0" w:val="clear"/>
            <w:tcMar>
              <w:top w:type="dxa" w:w="80"/>
              <w:left w:type="dxa" w:w="120"/>
              <w:bottom w:type="dxa" w:w="80"/>
              <w:right w:type="dxa" w:w="120"/>
            </w:tcMar>
          </w:tcPr>
          <w:p>
            <w:r>
              <w:rPr>
                <w:rFonts w:ascii="Arial" w:cs="Arial" w:eastAsia="Arial" w:hAnsi="Arial"/>
                <w:b w:val="false"/>
                <w:bCs w:val="false"/>
                <w:color w:val="0E1020"/>
                <w:sz w:val="20"/>
                <w:szCs w:val="20"/>
              </w:rPr>
              <w:t xml:space="preserve">Configurable Triage Engine: decision table UI, entity-driven rule evaluation</w:t>
            </w:r>
          </w:p>
        </w:tc>
      </w:tr>
      <w:tr>
        <w:tc>
          <w:tcPr>
            <w:tcW w:type="dxa" w:w="200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bCs/>
                <w:color w:val="0E1020"/>
                <w:sz w:val="20"/>
                <w:szCs w:val="20"/>
              </w:rPr>
              <w:t xml:space="preserve">Processing Workspace</w:t>
            </w:r>
          </w:p>
        </w:tc>
        <w:tc>
          <w:tcPr>
            <w:tcW w:type="dxa" w:w="368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val="false"/>
                <w:bCs w:val="false"/>
                <w:color w:val="0E1020"/>
                <w:sz w:val="20"/>
                <w:szCs w:val="20"/>
              </w:rPr>
              <w:t xml:space="preserve">Back office / CSR portal good order validation, IGO check</w:t>
            </w:r>
          </w:p>
        </w:tc>
        <w:tc>
          <w:tcPr>
            <w:tcW w:type="dxa" w:w="368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val="false"/>
                <w:bCs w:val="false"/>
                <w:color w:val="0E1020"/>
                <w:sz w:val="20"/>
                <w:szCs w:val="20"/>
              </w:rPr>
              <w:t xml:space="preserve">Touch-Level Workspaces: Low (click-approve), Moderate (secondary val), High (manual review)</w:t>
            </w:r>
          </w:p>
        </w:tc>
      </w:tr>
      <w:tr>
        <w:tc>
          <w:tcPr>
            <w:tcW w:type="dxa" w:w="2000"/>
            <w:tcBorders>
              <w:top w:val="single" w:color="D0CCC7" w:sz="1"/>
              <w:left w:val="single" w:color="D0CCC7" w:sz="1"/>
              <w:bottom w:val="single" w:color="D0CCC7" w:sz="1"/>
              <w:right w:val="single" w:color="D0CCC7" w:sz="1"/>
            </w:tcBorders>
            <w:shd w:fill="F6F3F0" w:val="clear"/>
            <w:tcMar>
              <w:top w:type="dxa" w:w="80"/>
              <w:left w:type="dxa" w:w="120"/>
              <w:bottom w:type="dxa" w:w="80"/>
              <w:right w:type="dxa" w:w="120"/>
            </w:tcMar>
          </w:tcPr>
          <w:p>
            <w:r>
              <w:rPr>
                <w:rFonts w:ascii="Arial" w:cs="Arial" w:eastAsia="Arial" w:hAnsi="Arial"/>
                <w:b/>
                <w:bCs/>
                <w:color w:val="0E1020"/>
                <w:sz w:val="20"/>
                <w:szCs w:val="20"/>
              </w:rPr>
              <w:t xml:space="preserve">Admin System Integration</w:t>
            </w:r>
          </w:p>
        </w:tc>
        <w:tc>
          <w:tcPr>
            <w:tcW w:type="dxa" w:w="3680"/>
            <w:tcBorders>
              <w:top w:val="single" w:color="D0CCC7" w:sz="1"/>
              <w:left w:val="single" w:color="D0CCC7" w:sz="1"/>
              <w:bottom w:val="single" w:color="D0CCC7" w:sz="1"/>
              <w:right w:val="single" w:color="D0CCC7" w:sz="1"/>
            </w:tcBorders>
            <w:shd w:fill="F6F3F0" w:val="clear"/>
            <w:tcMar>
              <w:top w:type="dxa" w:w="80"/>
              <w:left w:type="dxa" w:w="120"/>
              <w:bottom w:type="dxa" w:w="80"/>
              <w:right w:type="dxa" w:w="120"/>
            </w:tcMar>
          </w:tcPr>
          <w:p>
            <w:r>
              <w:rPr>
                <w:rFonts w:ascii="Arial" w:cs="Arial" w:eastAsia="Arial" w:hAnsi="Arial"/>
                <w:b w:val="false"/>
                <w:bCs w:val="false"/>
                <w:color w:val="0E1020"/>
                <w:sz w:val="20"/>
                <w:szCs w:val="20"/>
              </w:rPr>
              <w:t xml:space="preserve">Trigger transaction in admin system, correspondence</w:t>
            </w:r>
          </w:p>
        </w:tc>
        <w:tc>
          <w:tcPr>
            <w:tcW w:type="dxa" w:w="3680"/>
            <w:tcBorders>
              <w:top w:val="single" w:color="D0CCC7" w:sz="1"/>
              <w:left w:val="single" w:color="D0CCC7" w:sz="1"/>
              <w:bottom w:val="single" w:color="D0CCC7" w:sz="1"/>
              <w:right w:val="single" w:color="D0CCC7" w:sz="1"/>
            </w:tcBorders>
            <w:shd w:fill="F6F3F0" w:val="clear"/>
            <w:tcMar>
              <w:top w:type="dxa" w:w="80"/>
              <w:left w:type="dxa" w:w="120"/>
              <w:bottom w:type="dxa" w:w="80"/>
              <w:right w:type="dxa" w:w="120"/>
            </w:tcMar>
          </w:tcPr>
          <w:p>
            <w:r>
              <w:rPr>
                <w:rFonts w:ascii="Arial" w:cs="Arial" w:eastAsia="Arial" w:hAnsi="Arial"/>
                <w:b w:val="false"/>
                <w:bCs w:val="false"/>
                <w:color w:val="0E1020"/>
                <w:sz w:val="20"/>
                <w:szCs w:val="20"/>
              </w:rPr>
              <w:t xml:space="preserve">Admin API Integration Layer: transaction submission, status callback, correspondence trigger</w:t>
            </w:r>
          </w:p>
        </w:tc>
      </w:tr>
    </w:tbl>
    <w:p>
      <w:pPr>
        <w:spacing w:after="120"/>
      </w:pPr>
    </w:p>
    <w:p>
      <w:pPr>
        <w:pStyle w:val="Heading1"/>
        <w:spacing w:before="360" w:after="200"/>
      </w:pPr>
      <w:r>
        <w:rPr>
          <w:rFonts w:ascii="Arial" w:cs="Arial" w:eastAsia="Arial" w:hAnsi="Arial"/>
          <w:b/>
          <w:bCs/>
          <w:color w:val="0E1020"/>
          <w:sz w:val="32"/>
          <w:szCs w:val="32"/>
        </w:rPr>
        <w:t xml:space="preserve">3. Entity Model: The Three Data Pillars</w:t>
      </w:r>
    </w:p>
    <w:p>
      <w:pPr>
        <w:spacing w:after="160"/>
      </w:pPr>
      <w:r>
        <w:rPr>
          <w:rFonts w:ascii="Arial" w:cs="Arial" w:eastAsia="Arial" w:hAnsi="Arial"/>
          <w:color w:val="0E1020"/>
          <w:sz w:val="20"/>
          <w:szCs w:val="20"/>
        </w:rPr>
        <w:t xml:space="preserve">Every UI component in the Smart App renders data from one or more of three entity classes. These entities converge in the triage engine and processing workspaces to drive decisions and display context. The hackathon team must build each entity provider as an independent, reusable data service.</w:t>
      </w:r>
    </w:p>
    <w:p>
      <w:pPr>
        <w:pStyle w:val="Heading2"/>
        <w:spacing w:before="280" w:after="160"/>
      </w:pPr>
      <w:r>
        <w:rPr>
          <w:rFonts w:ascii="Arial" w:cs="Arial" w:eastAsia="Arial" w:hAnsi="Arial"/>
          <w:b/>
          <w:bCs/>
          <w:color w:val="004AAC"/>
          <w:sz w:val="26"/>
          <w:szCs w:val="26"/>
        </w:rPr>
        <w:t xml:space="preserve">3.1 IDP-Extracted Entities</w:t>
      </w:r>
    </w:p>
    <w:p>
      <w:pPr>
        <w:spacing w:after="160"/>
      </w:pPr>
      <w:r>
        <w:rPr>
          <w:rFonts w:ascii="Arial" w:cs="Arial" w:eastAsia="Arial" w:hAnsi="Arial"/>
          <w:color w:val="0E1020"/>
          <w:sz w:val="20"/>
          <w:szCs w:val="20"/>
        </w:rPr>
        <w:t xml:space="preserve">Data elements extracted by Intelligent Document Processing from submitted forms. Each entity carries a field name, extracted value, and confidence score. The IDP entity set is specific to each transaction type but follows a standard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0CCC7" w:sz="1"/>
              <w:left w:val="single" w:color="D0CCC7" w:sz="1"/>
              <w:bottom w:val="single" w:color="D0CCC7" w:sz="1"/>
              <w:right w:val="single" w:color="D0CCC7" w:sz="1"/>
            </w:tcBorders>
            <w:shd w:fill="004AAC" w:val="clear"/>
            <w:tcMar>
              <w:top w:type="dxa" w:w="80"/>
              <w:left w:type="dxa" w:w="120"/>
              <w:bottom w:type="dxa" w:w="80"/>
              <w:right w:type="dxa" w:w="120"/>
            </w:tcMar>
            <w:vAlign w:val="center"/>
          </w:tcPr>
          <w:p>
            <w:r>
              <w:rPr>
                <w:rFonts w:ascii="Arial" w:cs="Arial" w:eastAsia="Arial" w:hAnsi="Arial"/>
                <w:b/>
                <w:bCs/>
                <w:color w:val="FFFFFF"/>
                <w:sz w:val="20"/>
                <w:szCs w:val="20"/>
              </w:rPr>
              <w:t xml:space="preserve">Entity Field</w:t>
            </w:r>
          </w:p>
        </w:tc>
        <w:tc>
          <w:tcPr>
            <w:tcW w:type="dxa" w:w="2340"/>
            <w:tcBorders>
              <w:top w:val="single" w:color="D0CCC7" w:sz="1"/>
              <w:left w:val="single" w:color="D0CCC7" w:sz="1"/>
              <w:bottom w:val="single" w:color="D0CCC7" w:sz="1"/>
              <w:right w:val="single" w:color="D0CCC7" w:sz="1"/>
            </w:tcBorders>
            <w:shd w:fill="004AAC" w:val="clear"/>
            <w:tcMar>
              <w:top w:type="dxa" w:w="80"/>
              <w:left w:type="dxa" w:w="120"/>
              <w:bottom w:type="dxa" w:w="80"/>
              <w:right w:type="dxa" w:w="120"/>
            </w:tcMar>
            <w:vAlign w:val="center"/>
          </w:tcPr>
          <w:p>
            <w:r>
              <w:rPr>
                <w:rFonts w:ascii="Arial" w:cs="Arial" w:eastAsia="Arial" w:hAnsi="Arial"/>
                <w:b/>
                <w:bCs/>
                <w:color w:val="FFFFFF"/>
                <w:sz w:val="20"/>
                <w:szCs w:val="20"/>
              </w:rPr>
              <w:t xml:space="preserve">Loan</w:t>
            </w:r>
          </w:p>
        </w:tc>
        <w:tc>
          <w:tcPr>
            <w:tcW w:type="dxa" w:w="2340"/>
            <w:tcBorders>
              <w:top w:val="single" w:color="D0CCC7" w:sz="1"/>
              <w:left w:val="single" w:color="D0CCC7" w:sz="1"/>
              <w:bottom w:val="single" w:color="D0CCC7" w:sz="1"/>
              <w:right w:val="single" w:color="D0CCC7" w:sz="1"/>
            </w:tcBorders>
            <w:shd w:fill="004AAC" w:val="clear"/>
            <w:tcMar>
              <w:top w:type="dxa" w:w="80"/>
              <w:left w:type="dxa" w:w="120"/>
              <w:bottom w:type="dxa" w:w="80"/>
              <w:right w:type="dxa" w:w="120"/>
            </w:tcMar>
            <w:vAlign w:val="center"/>
          </w:tcPr>
          <w:p>
            <w:r>
              <w:rPr>
                <w:rFonts w:ascii="Arial" w:cs="Arial" w:eastAsia="Arial" w:hAnsi="Arial"/>
                <w:b/>
                <w:bCs/>
                <w:color w:val="FFFFFF"/>
                <w:sz w:val="20"/>
                <w:szCs w:val="20"/>
              </w:rPr>
              <w:t xml:space="preserve">Full Surrender</w:t>
            </w:r>
          </w:p>
        </w:tc>
        <w:tc>
          <w:tcPr>
            <w:tcW w:type="dxa" w:w="2340"/>
            <w:tcBorders>
              <w:top w:val="single" w:color="D0CCC7" w:sz="1"/>
              <w:left w:val="single" w:color="D0CCC7" w:sz="1"/>
              <w:bottom w:val="single" w:color="D0CCC7" w:sz="1"/>
              <w:right w:val="single" w:color="D0CCC7" w:sz="1"/>
            </w:tcBorders>
            <w:shd w:fill="004AAC" w:val="clear"/>
            <w:tcMar>
              <w:top w:type="dxa" w:w="80"/>
              <w:left w:type="dxa" w:w="120"/>
              <w:bottom w:type="dxa" w:w="80"/>
              <w:right w:type="dxa" w:w="120"/>
            </w:tcMar>
            <w:vAlign w:val="center"/>
          </w:tcPr>
          <w:p>
            <w:r>
              <w:rPr>
                <w:rFonts w:ascii="Arial" w:cs="Arial" w:eastAsia="Arial" w:hAnsi="Arial"/>
                <w:b/>
                <w:bCs/>
                <w:color w:val="FFFFFF"/>
                <w:sz w:val="20"/>
                <w:szCs w:val="20"/>
              </w:rPr>
              <w:t xml:space="preserve">Annuity RMD</w:t>
            </w:r>
          </w:p>
        </w:tc>
      </w:tr>
      <w:tr>
        <w:tc>
          <w:tcPr>
            <w:tcW w:type="dxa" w:w="234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bCs/>
                <w:color w:val="0E1020"/>
                <w:sz w:val="20"/>
                <w:szCs w:val="20"/>
              </w:rPr>
              <w:t xml:space="preserve">Policy/Contract Number</w:t>
            </w:r>
          </w:p>
        </w:tc>
        <w:tc>
          <w:tcPr>
            <w:tcW w:type="dxa" w:w="234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val="false"/>
                <w:bCs w:val="false"/>
                <w:color w:val="0E1020"/>
                <w:sz w:val="20"/>
                <w:szCs w:val="20"/>
              </w:rPr>
              <w:t xml:space="preserve">Required</w:t>
            </w:r>
          </w:p>
        </w:tc>
        <w:tc>
          <w:tcPr>
            <w:tcW w:type="dxa" w:w="234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val="false"/>
                <w:bCs w:val="false"/>
                <w:color w:val="0E1020"/>
                <w:sz w:val="20"/>
                <w:szCs w:val="20"/>
              </w:rPr>
              <w:t xml:space="preserve">Required</w:t>
            </w:r>
          </w:p>
        </w:tc>
        <w:tc>
          <w:tcPr>
            <w:tcW w:type="dxa" w:w="234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val="false"/>
                <w:bCs w:val="false"/>
                <w:color w:val="0E1020"/>
                <w:sz w:val="20"/>
                <w:szCs w:val="20"/>
              </w:rPr>
              <w:t xml:space="preserve">Required</w:t>
            </w:r>
          </w:p>
        </w:tc>
      </w:tr>
      <w:tr>
        <w:tc>
          <w:tcPr>
            <w:tcW w:type="dxa" w:w="2340"/>
            <w:tcBorders>
              <w:top w:val="single" w:color="D0CCC7" w:sz="1"/>
              <w:left w:val="single" w:color="D0CCC7" w:sz="1"/>
              <w:bottom w:val="single" w:color="D0CCC7" w:sz="1"/>
              <w:right w:val="single" w:color="D0CCC7" w:sz="1"/>
            </w:tcBorders>
            <w:shd w:fill="F6F3F0" w:val="clear"/>
            <w:tcMar>
              <w:top w:type="dxa" w:w="80"/>
              <w:left w:type="dxa" w:w="120"/>
              <w:bottom w:type="dxa" w:w="80"/>
              <w:right w:type="dxa" w:w="120"/>
            </w:tcMar>
          </w:tcPr>
          <w:p>
            <w:r>
              <w:rPr>
                <w:rFonts w:ascii="Arial" w:cs="Arial" w:eastAsia="Arial" w:hAnsi="Arial"/>
                <w:b/>
                <w:bCs/>
                <w:color w:val="0E1020"/>
                <w:sz w:val="20"/>
                <w:szCs w:val="20"/>
              </w:rPr>
              <w:t xml:space="preserve">Owner Name</w:t>
            </w:r>
          </w:p>
        </w:tc>
        <w:tc>
          <w:tcPr>
            <w:tcW w:type="dxa" w:w="2340"/>
            <w:tcBorders>
              <w:top w:val="single" w:color="D0CCC7" w:sz="1"/>
              <w:left w:val="single" w:color="D0CCC7" w:sz="1"/>
              <w:bottom w:val="single" w:color="D0CCC7" w:sz="1"/>
              <w:right w:val="single" w:color="D0CCC7" w:sz="1"/>
            </w:tcBorders>
            <w:shd w:fill="F6F3F0" w:val="clear"/>
            <w:tcMar>
              <w:top w:type="dxa" w:w="80"/>
              <w:left w:type="dxa" w:w="120"/>
              <w:bottom w:type="dxa" w:w="80"/>
              <w:right w:type="dxa" w:w="120"/>
            </w:tcMar>
          </w:tcPr>
          <w:p>
            <w:r>
              <w:rPr>
                <w:rFonts w:ascii="Arial" w:cs="Arial" w:eastAsia="Arial" w:hAnsi="Arial"/>
                <w:b w:val="false"/>
                <w:bCs w:val="false"/>
                <w:color w:val="0E1020"/>
                <w:sz w:val="20"/>
                <w:szCs w:val="20"/>
              </w:rPr>
              <w:t xml:space="preserve">Required</w:t>
            </w:r>
          </w:p>
        </w:tc>
        <w:tc>
          <w:tcPr>
            <w:tcW w:type="dxa" w:w="2340"/>
            <w:tcBorders>
              <w:top w:val="single" w:color="D0CCC7" w:sz="1"/>
              <w:left w:val="single" w:color="D0CCC7" w:sz="1"/>
              <w:bottom w:val="single" w:color="D0CCC7" w:sz="1"/>
              <w:right w:val="single" w:color="D0CCC7" w:sz="1"/>
            </w:tcBorders>
            <w:shd w:fill="F6F3F0" w:val="clear"/>
            <w:tcMar>
              <w:top w:type="dxa" w:w="80"/>
              <w:left w:type="dxa" w:w="120"/>
              <w:bottom w:type="dxa" w:w="80"/>
              <w:right w:type="dxa" w:w="120"/>
            </w:tcMar>
          </w:tcPr>
          <w:p>
            <w:r>
              <w:rPr>
                <w:rFonts w:ascii="Arial" w:cs="Arial" w:eastAsia="Arial" w:hAnsi="Arial"/>
                <w:b w:val="false"/>
                <w:bCs w:val="false"/>
                <w:color w:val="0E1020"/>
                <w:sz w:val="20"/>
                <w:szCs w:val="20"/>
              </w:rPr>
              <w:t xml:space="preserve">Required</w:t>
            </w:r>
          </w:p>
        </w:tc>
        <w:tc>
          <w:tcPr>
            <w:tcW w:type="dxa" w:w="2340"/>
            <w:tcBorders>
              <w:top w:val="single" w:color="D0CCC7" w:sz="1"/>
              <w:left w:val="single" w:color="D0CCC7" w:sz="1"/>
              <w:bottom w:val="single" w:color="D0CCC7" w:sz="1"/>
              <w:right w:val="single" w:color="D0CCC7" w:sz="1"/>
            </w:tcBorders>
            <w:shd w:fill="F6F3F0" w:val="clear"/>
            <w:tcMar>
              <w:top w:type="dxa" w:w="80"/>
              <w:left w:type="dxa" w:w="120"/>
              <w:bottom w:type="dxa" w:w="80"/>
              <w:right w:type="dxa" w:w="120"/>
            </w:tcMar>
          </w:tcPr>
          <w:p>
            <w:r>
              <w:rPr>
                <w:rFonts w:ascii="Arial" w:cs="Arial" w:eastAsia="Arial" w:hAnsi="Arial"/>
                <w:b w:val="false"/>
                <w:bCs w:val="false"/>
                <w:color w:val="0E1020"/>
                <w:sz w:val="20"/>
                <w:szCs w:val="20"/>
              </w:rPr>
              <w:t xml:space="preserve">Required</w:t>
            </w:r>
          </w:p>
        </w:tc>
      </w:tr>
      <w:tr>
        <w:tc>
          <w:tcPr>
            <w:tcW w:type="dxa" w:w="234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bCs/>
                <w:color w:val="0E1020"/>
                <w:sz w:val="20"/>
                <w:szCs w:val="20"/>
              </w:rPr>
              <w:t xml:space="preserve">Owner Signature</w:t>
            </w:r>
          </w:p>
        </w:tc>
        <w:tc>
          <w:tcPr>
            <w:tcW w:type="dxa" w:w="234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val="false"/>
                <w:bCs w:val="false"/>
                <w:color w:val="0E1020"/>
                <w:sz w:val="20"/>
                <w:szCs w:val="20"/>
              </w:rPr>
              <w:t xml:space="preserve">Required</w:t>
            </w:r>
          </w:p>
        </w:tc>
        <w:tc>
          <w:tcPr>
            <w:tcW w:type="dxa" w:w="234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val="false"/>
                <w:bCs w:val="false"/>
                <w:color w:val="0E1020"/>
                <w:sz w:val="20"/>
                <w:szCs w:val="20"/>
              </w:rPr>
              <w:t xml:space="preserve">Required</w:t>
            </w:r>
          </w:p>
        </w:tc>
        <w:tc>
          <w:tcPr>
            <w:tcW w:type="dxa" w:w="234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val="false"/>
                <w:bCs w:val="false"/>
                <w:color w:val="0E1020"/>
                <w:sz w:val="20"/>
                <w:szCs w:val="20"/>
              </w:rPr>
              <w:t xml:space="preserve">Required</w:t>
            </w:r>
          </w:p>
        </w:tc>
      </w:tr>
      <w:tr>
        <w:tc>
          <w:tcPr>
            <w:tcW w:type="dxa" w:w="2340"/>
            <w:tcBorders>
              <w:top w:val="single" w:color="D0CCC7" w:sz="1"/>
              <w:left w:val="single" w:color="D0CCC7" w:sz="1"/>
              <w:bottom w:val="single" w:color="D0CCC7" w:sz="1"/>
              <w:right w:val="single" w:color="D0CCC7" w:sz="1"/>
            </w:tcBorders>
            <w:shd w:fill="F6F3F0" w:val="clear"/>
            <w:tcMar>
              <w:top w:type="dxa" w:w="80"/>
              <w:left w:type="dxa" w:w="120"/>
              <w:bottom w:type="dxa" w:w="80"/>
              <w:right w:type="dxa" w:w="120"/>
            </w:tcMar>
          </w:tcPr>
          <w:p>
            <w:r>
              <w:rPr>
                <w:rFonts w:ascii="Arial" w:cs="Arial" w:eastAsia="Arial" w:hAnsi="Arial"/>
                <w:b/>
                <w:bCs/>
                <w:color w:val="0E1020"/>
                <w:sz w:val="20"/>
                <w:szCs w:val="20"/>
              </w:rPr>
              <w:t xml:space="preserve">Requested Amount</w:t>
            </w:r>
          </w:p>
        </w:tc>
        <w:tc>
          <w:tcPr>
            <w:tcW w:type="dxa" w:w="2340"/>
            <w:tcBorders>
              <w:top w:val="single" w:color="D0CCC7" w:sz="1"/>
              <w:left w:val="single" w:color="D0CCC7" w:sz="1"/>
              <w:bottom w:val="single" w:color="D0CCC7" w:sz="1"/>
              <w:right w:val="single" w:color="D0CCC7" w:sz="1"/>
            </w:tcBorders>
            <w:shd w:fill="F6F3F0" w:val="clear"/>
            <w:tcMar>
              <w:top w:type="dxa" w:w="80"/>
              <w:left w:type="dxa" w:w="120"/>
              <w:bottom w:type="dxa" w:w="80"/>
              <w:right w:type="dxa" w:w="120"/>
            </w:tcMar>
          </w:tcPr>
          <w:p>
            <w:r>
              <w:rPr>
                <w:rFonts w:ascii="Arial" w:cs="Arial" w:eastAsia="Arial" w:hAnsi="Arial"/>
                <w:b w:val="false"/>
                <w:bCs w:val="false"/>
                <w:color w:val="0E1020"/>
                <w:sz w:val="20"/>
                <w:szCs w:val="20"/>
              </w:rPr>
              <w:t xml:space="preserve">Required</w:t>
            </w:r>
          </w:p>
        </w:tc>
        <w:tc>
          <w:tcPr>
            <w:tcW w:type="dxa" w:w="2340"/>
            <w:tcBorders>
              <w:top w:val="single" w:color="D0CCC7" w:sz="1"/>
              <w:left w:val="single" w:color="D0CCC7" w:sz="1"/>
              <w:bottom w:val="single" w:color="D0CCC7" w:sz="1"/>
              <w:right w:val="single" w:color="D0CCC7" w:sz="1"/>
            </w:tcBorders>
            <w:shd w:fill="F6F3F0" w:val="clear"/>
            <w:tcMar>
              <w:top w:type="dxa" w:w="80"/>
              <w:left w:type="dxa" w:w="120"/>
              <w:bottom w:type="dxa" w:w="80"/>
              <w:right w:type="dxa" w:w="120"/>
            </w:tcMar>
          </w:tcPr>
          <w:p>
            <w:r>
              <w:rPr>
                <w:rFonts w:ascii="Arial" w:cs="Arial" w:eastAsia="Arial" w:hAnsi="Arial"/>
                <w:b w:val="false"/>
                <w:bCs w:val="false"/>
                <w:color w:val="0E1020"/>
                <w:sz w:val="20"/>
                <w:szCs w:val="20"/>
              </w:rPr>
              <w:t xml:space="preserve">N/A (Full Value)</w:t>
            </w:r>
          </w:p>
        </w:tc>
        <w:tc>
          <w:tcPr>
            <w:tcW w:type="dxa" w:w="2340"/>
            <w:tcBorders>
              <w:top w:val="single" w:color="D0CCC7" w:sz="1"/>
              <w:left w:val="single" w:color="D0CCC7" w:sz="1"/>
              <w:bottom w:val="single" w:color="D0CCC7" w:sz="1"/>
              <w:right w:val="single" w:color="D0CCC7" w:sz="1"/>
            </w:tcBorders>
            <w:shd w:fill="F6F3F0" w:val="clear"/>
            <w:tcMar>
              <w:top w:type="dxa" w:w="80"/>
              <w:left w:type="dxa" w:w="120"/>
              <w:bottom w:type="dxa" w:w="80"/>
              <w:right w:type="dxa" w:w="120"/>
            </w:tcMar>
          </w:tcPr>
          <w:p>
            <w:r>
              <w:rPr>
                <w:rFonts w:ascii="Arial" w:cs="Arial" w:eastAsia="Arial" w:hAnsi="Arial"/>
                <w:b w:val="false"/>
                <w:bCs w:val="false"/>
                <w:color w:val="0E1020"/>
                <w:sz w:val="20"/>
                <w:szCs w:val="20"/>
              </w:rPr>
              <w:t xml:space="preserve">Calculated</w:t>
            </w:r>
          </w:p>
        </w:tc>
      </w:tr>
      <w:tr>
        <w:tc>
          <w:tcPr>
            <w:tcW w:type="dxa" w:w="234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bCs/>
                <w:color w:val="0E1020"/>
                <w:sz w:val="20"/>
                <w:szCs w:val="20"/>
              </w:rPr>
              <w:t xml:space="preserve">Loan Type (New/Repay)</w:t>
            </w:r>
          </w:p>
        </w:tc>
        <w:tc>
          <w:tcPr>
            <w:tcW w:type="dxa" w:w="234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val="false"/>
                <w:bCs w:val="false"/>
                <w:color w:val="0E1020"/>
                <w:sz w:val="20"/>
                <w:szCs w:val="20"/>
              </w:rPr>
              <w:t xml:space="preserve">Required</w:t>
            </w:r>
          </w:p>
        </w:tc>
        <w:tc>
          <w:tcPr>
            <w:tcW w:type="dxa" w:w="234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val="false"/>
                <w:bCs w:val="false"/>
                <w:color w:val="0E1020"/>
                <w:sz w:val="20"/>
                <w:szCs w:val="20"/>
              </w:rPr>
              <w:t xml:space="preserve">N/A</w:t>
            </w:r>
          </w:p>
        </w:tc>
        <w:tc>
          <w:tcPr>
            <w:tcW w:type="dxa" w:w="234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val="false"/>
                <w:bCs w:val="false"/>
                <w:color w:val="0E1020"/>
                <w:sz w:val="20"/>
                <w:szCs w:val="20"/>
              </w:rPr>
              <w:t xml:space="preserve">N/A</w:t>
            </w:r>
          </w:p>
        </w:tc>
      </w:tr>
      <w:tr>
        <w:tc>
          <w:tcPr>
            <w:tcW w:type="dxa" w:w="2340"/>
            <w:tcBorders>
              <w:top w:val="single" w:color="D0CCC7" w:sz="1"/>
              <w:left w:val="single" w:color="D0CCC7" w:sz="1"/>
              <w:bottom w:val="single" w:color="D0CCC7" w:sz="1"/>
              <w:right w:val="single" w:color="D0CCC7" w:sz="1"/>
            </w:tcBorders>
            <w:shd w:fill="F6F3F0" w:val="clear"/>
            <w:tcMar>
              <w:top w:type="dxa" w:w="80"/>
              <w:left w:type="dxa" w:w="120"/>
              <w:bottom w:type="dxa" w:w="80"/>
              <w:right w:type="dxa" w:w="120"/>
            </w:tcMar>
          </w:tcPr>
          <w:p>
            <w:r>
              <w:rPr>
                <w:rFonts w:ascii="Arial" w:cs="Arial" w:eastAsia="Arial" w:hAnsi="Arial"/>
                <w:b/>
                <w:bCs/>
                <w:color w:val="0E1020"/>
                <w:sz w:val="20"/>
                <w:szCs w:val="20"/>
              </w:rPr>
              <w:t xml:space="preserve">Payment Method</w:t>
            </w:r>
          </w:p>
        </w:tc>
        <w:tc>
          <w:tcPr>
            <w:tcW w:type="dxa" w:w="2340"/>
            <w:tcBorders>
              <w:top w:val="single" w:color="D0CCC7" w:sz="1"/>
              <w:left w:val="single" w:color="D0CCC7" w:sz="1"/>
              <w:bottom w:val="single" w:color="D0CCC7" w:sz="1"/>
              <w:right w:val="single" w:color="D0CCC7" w:sz="1"/>
            </w:tcBorders>
            <w:shd w:fill="F6F3F0" w:val="clear"/>
            <w:tcMar>
              <w:top w:type="dxa" w:w="80"/>
              <w:left w:type="dxa" w:w="120"/>
              <w:bottom w:type="dxa" w:w="80"/>
              <w:right w:type="dxa" w:w="120"/>
            </w:tcMar>
          </w:tcPr>
          <w:p>
            <w:r>
              <w:rPr>
                <w:rFonts w:ascii="Arial" w:cs="Arial" w:eastAsia="Arial" w:hAnsi="Arial"/>
                <w:b w:val="false"/>
                <w:bCs w:val="false"/>
                <w:color w:val="0E1020"/>
                <w:sz w:val="20"/>
                <w:szCs w:val="20"/>
              </w:rPr>
              <w:t xml:space="preserve">Required</w:t>
            </w:r>
          </w:p>
        </w:tc>
        <w:tc>
          <w:tcPr>
            <w:tcW w:type="dxa" w:w="2340"/>
            <w:tcBorders>
              <w:top w:val="single" w:color="D0CCC7" w:sz="1"/>
              <w:left w:val="single" w:color="D0CCC7" w:sz="1"/>
              <w:bottom w:val="single" w:color="D0CCC7" w:sz="1"/>
              <w:right w:val="single" w:color="D0CCC7" w:sz="1"/>
            </w:tcBorders>
            <w:shd w:fill="F6F3F0" w:val="clear"/>
            <w:tcMar>
              <w:top w:type="dxa" w:w="80"/>
              <w:left w:type="dxa" w:w="120"/>
              <w:bottom w:type="dxa" w:w="80"/>
              <w:right w:type="dxa" w:w="120"/>
            </w:tcMar>
          </w:tcPr>
          <w:p>
            <w:r>
              <w:rPr>
                <w:rFonts w:ascii="Arial" w:cs="Arial" w:eastAsia="Arial" w:hAnsi="Arial"/>
                <w:b w:val="false"/>
                <w:bCs w:val="false"/>
                <w:color w:val="0E1020"/>
                <w:sz w:val="20"/>
                <w:szCs w:val="20"/>
              </w:rPr>
              <w:t xml:space="preserve">Required</w:t>
            </w:r>
          </w:p>
        </w:tc>
        <w:tc>
          <w:tcPr>
            <w:tcW w:type="dxa" w:w="2340"/>
            <w:tcBorders>
              <w:top w:val="single" w:color="D0CCC7" w:sz="1"/>
              <w:left w:val="single" w:color="D0CCC7" w:sz="1"/>
              <w:bottom w:val="single" w:color="D0CCC7" w:sz="1"/>
              <w:right w:val="single" w:color="D0CCC7" w:sz="1"/>
            </w:tcBorders>
            <w:shd w:fill="F6F3F0" w:val="clear"/>
            <w:tcMar>
              <w:top w:type="dxa" w:w="80"/>
              <w:left w:type="dxa" w:w="120"/>
              <w:bottom w:type="dxa" w:w="80"/>
              <w:right w:type="dxa" w:w="120"/>
            </w:tcMar>
          </w:tcPr>
          <w:p>
            <w:r>
              <w:rPr>
                <w:rFonts w:ascii="Arial" w:cs="Arial" w:eastAsia="Arial" w:hAnsi="Arial"/>
                <w:b w:val="false"/>
                <w:bCs w:val="false"/>
                <w:color w:val="0E1020"/>
                <w:sz w:val="20"/>
                <w:szCs w:val="20"/>
              </w:rPr>
              <w:t xml:space="preserve">Required</w:t>
            </w:r>
          </w:p>
        </w:tc>
      </w:tr>
      <w:tr>
        <w:tc>
          <w:tcPr>
            <w:tcW w:type="dxa" w:w="234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bCs/>
                <w:color w:val="0E1020"/>
                <w:sz w:val="20"/>
                <w:szCs w:val="20"/>
              </w:rPr>
              <w:t xml:space="preserve">Tax Withholding Election</w:t>
            </w:r>
          </w:p>
        </w:tc>
        <w:tc>
          <w:tcPr>
            <w:tcW w:type="dxa" w:w="234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val="false"/>
                <w:bCs w:val="false"/>
                <w:color w:val="0E1020"/>
                <w:sz w:val="20"/>
                <w:szCs w:val="20"/>
              </w:rPr>
              <w:t xml:space="preserve">Required</w:t>
            </w:r>
          </w:p>
        </w:tc>
        <w:tc>
          <w:tcPr>
            <w:tcW w:type="dxa" w:w="234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val="false"/>
                <w:bCs w:val="false"/>
                <w:color w:val="0E1020"/>
                <w:sz w:val="20"/>
                <w:szCs w:val="20"/>
              </w:rPr>
              <w:t xml:space="preserve">Required</w:t>
            </w:r>
          </w:p>
        </w:tc>
        <w:tc>
          <w:tcPr>
            <w:tcW w:type="dxa" w:w="234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val="false"/>
                <w:bCs w:val="false"/>
                <w:color w:val="0E1020"/>
                <w:sz w:val="20"/>
                <w:szCs w:val="20"/>
              </w:rPr>
              <w:t xml:space="preserve">Required</w:t>
            </w:r>
          </w:p>
        </w:tc>
      </w:tr>
      <w:tr>
        <w:tc>
          <w:tcPr>
            <w:tcW w:type="dxa" w:w="2340"/>
            <w:tcBorders>
              <w:top w:val="single" w:color="D0CCC7" w:sz="1"/>
              <w:left w:val="single" w:color="D0CCC7" w:sz="1"/>
              <w:bottom w:val="single" w:color="D0CCC7" w:sz="1"/>
              <w:right w:val="single" w:color="D0CCC7" w:sz="1"/>
            </w:tcBorders>
            <w:shd w:fill="F6F3F0" w:val="clear"/>
            <w:tcMar>
              <w:top w:type="dxa" w:w="80"/>
              <w:left w:type="dxa" w:w="120"/>
              <w:bottom w:type="dxa" w:w="80"/>
              <w:right w:type="dxa" w:w="120"/>
            </w:tcMar>
          </w:tcPr>
          <w:p>
            <w:r>
              <w:rPr>
                <w:rFonts w:ascii="Arial" w:cs="Arial" w:eastAsia="Arial" w:hAnsi="Arial"/>
                <w:b/>
                <w:bCs/>
                <w:color w:val="0E1020"/>
                <w:sz w:val="20"/>
                <w:szCs w:val="20"/>
              </w:rPr>
              <w:t xml:space="preserve">Beneficiary Changes</w:t>
            </w:r>
          </w:p>
        </w:tc>
        <w:tc>
          <w:tcPr>
            <w:tcW w:type="dxa" w:w="2340"/>
            <w:tcBorders>
              <w:top w:val="single" w:color="D0CCC7" w:sz="1"/>
              <w:left w:val="single" w:color="D0CCC7" w:sz="1"/>
              <w:bottom w:val="single" w:color="D0CCC7" w:sz="1"/>
              <w:right w:val="single" w:color="D0CCC7" w:sz="1"/>
            </w:tcBorders>
            <w:shd w:fill="F6F3F0" w:val="clear"/>
            <w:tcMar>
              <w:top w:type="dxa" w:w="80"/>
              <w:left w:type="dxa" w:w="120"/>
              <w:bottom w:type="dxa" w:w="80"/>
              <w:right w:type="dxa" w:w="120"/>
            </w:tcMar>
          </w:tcPr>
          <w:p>
            <w:r>
              <w:rPr>
                <w:rFonts w:ascii="Arial" w:cs="Arial" w:eastAsia="Arial" w:hAnsi="Arial"/>
                <w:b w:val="false"/>
                <w:bCs w:val="false"/>
                <w:color w:val="0E1020"/>
                <w:sz w:val="20"/>
                <w:szCs w:val="20"/>
              </w:rPr>
              <w:t xml:space="preserve">If Applicable</w:t>
            </w:r>
          </w:p>
        </w:tc>
        <w:tc>
          <w:tcPr>
            <w:tcW w:type="dxa" w:w="2340"/>
            <w:tcBorders>
              <w:top w:val="single" w:color="D0CCC7" w:sz="1"/>
              <w:left w:val="single" w:color="D0CCC7" w:sz="1"/>
              <w:bottom w:val="single" w:color="D0CCC7" w:sz="1"/>
              <w:right w:val="single" w:color="D0CCC7" w:sz="1"/>
            </w:tcBorders>
            <w:shd w:fill="F6F3F0" w:val="clear"/>
            <w:tcMar>
              <w:top w:type="dxa" w:w="80"/>
              <w:left w:type="dxa" w:w="120"/>
              <w:bottom w:type="dxa" w:w="80"/>
              <w:right w:type="dxa" w:w="120"/>
            </w:tcMar>
          </w:tcPr>
          <w:p>
            <w:r>
              <w:rPr>
                <w:rFonts w:ascii="Arial" w:cs="Arial" w:eastAsia="Arial" w:hAnsi="Arial"/>
                <w:b w:val="false"/>
                <w:bCs w:val="false"/>
                <w:color w:val="0E1020"/>
                <w:sz w:val="20"/>
                <w:szCs w:val="20"/>
              </w:rPr>
              <w:t xml:space="preserve">If Applicable</w:t>
            </w:r>
          </w:p>
        </w:tc>
        <w:tc>
          <w:tcPr>
            <w:tcW w:type="dxa" w:w="2340"/>
            <w:tcBorders>
              <w:top w:val="single" w:color="D0CCC7" w:sz="1"/>
              <w:left w:val="single" w:color="D0CCC7" w:sz="1"/>
              <w:bottom w:val="single" w:color="D0CCC7" w:sz="1"/>
              <w:right w:val="single" w:color="D0CCC7" w:sz="1"/>
            </w:tcBorders>
            <w:shd w:fill="F6F3F0" w:val="clear"/>
            <w:tcMar>
              <w:top w:type="dxa" w:w="80"/>
              <w:left w:type="dxa" w:w="120"/>
              <w:bottom w:type="dxa" w:w="80"/>
              <w:right w:type="dxa" w:w="120"/>
            </w:tcMar>
          </w:tcPr>
          <w:p>
            <w:r>
              <w:rPr>
                <w:rFonts w:ascii="Arial" w:cs="Arial" w:eastAsia="Arial" w:hAnsi="Arial"/>
                <w:b w:val="false"/>
                <w:bCs w:val="false"/>
                <w:color w:val="0E1020"/>
                <w:sz w:val="20"/>
                <w:szCs w:val="20"/>
              </w:rPr>
              <w:t xml:space="preserve">N/A</w:t>
            </w:r>
          </w:p>
        </w:tc>
      </w:tr>
    </w:tbl>
    <w:p>
      <w:pPr>
        <w:spacing w:after="120"/>
      </w:pPr>
    </w:p>
    <w:p>
      <w:pPr>
        <w:pStyle w:val="Heading2"/>
        <w:spacing w:before="280" w:after="160"/>
      </w:pPr>
      <w:r>
        <w:rPr>
          <w:rFonts w:ascii="Arial" w:cs="Arial" w:eastAsia="Arial" w:hAnsi="Arial"/>
          <w:b/>
          <w:bCs/>
          <w:color w:val="004AAC"/>
          <w:sz w:val="26"/>
          <w:szCs w:val="26"/>
        </w:rPr>
        <w:t xml:space="preserve">3.2 Policy Entities</w:t>
      </w:r>
    </w:p>
    <w:p>
      <w:pPr>
        <w:spacing w:after="160"/>
      </w:pPr>
      <w:r>
        <w:rPr>
          <w:rFonts w:ascii="Arial" w:cs="Arial" w:eastAsia="Arial" w:hAnsi="Arial"/>
          <w:color w:val="0E1020"/>
          <w:sz w:val="20"/>
          <w:szCs w:val="20"/>
        </w:rPr>
        <w:t xml:space="preserve">Data retrieved from the admin system via API at case creation time. These represent the current state of the policy or contract and are used for validation, eligibility checks, and triage decisioning.</w:t>
      </w:r>
    </w:p>
    <w:p>
      <w:pPr>
        <w:pStyle w:val="ListParagraph"/>
        <w:numPr>
          <w:ilvl w:val="0"/>
          <w:numId w:val="2"/>
        </w:numPr>
        <w:spacing w:after="80"/>
      </w:pPr>
      <w:r>
        <w:rPr>
          <w:rFonts w:ascii="Arial" w:cs="Arial" w:eastAsia="Arial" w:hAnsi="Arial"/>
          <w:b/>
          <w:bCs/>
          <w:color w:val="0E1020"/>
          <w:sz w:val="20"/>
          <w:szCs w:val="20"/>
        </w:rPr>
        <w:t xml:space="preserve">Policy Status: </w:t>
      </w:r>
      <w:r>
        <w:rPr>
          <w:rFonts w:ascii="Arial" w:cs="Arial" w:eastAsia="Arial" w:hAnsi="Arial"/>
          <w:color w:val="0E1020"/>
          <w:sz w:val="20"/>
          <w:szCs w:val="20"/>
        </w:rPr>
        <w:t xml:space="preserve">Active, lapsed, paid-up, reduced paid-up, extended term</w:t>
      </w:r>
    </w:p>
    <w:p>
      <w:pPr>
        <w:pStyle w:val="ListParagraph"/>
        <w:numPr>
          <w:ilvl w:val="0"/>
          <w:numId w:val="2"/>
        </w:numPr>
        <w:spacing w:after="80"/>
      </w:pPr>
      <w:r>
        <w:rPr>
          <w:rFonts w:ascii="Arial" w:cs="Arial" w:eastAsia="Arial" w:hAnsi="Arial"/>
          <w:b/>
          <w:bCs/>
          <w:color w:val="0E1020"/>
          <w:sz w:val="20"/>
          <w:szCs w:val="20"/>
        </w:rPr>
        <w:t xml:space="preserve">Cash Surrender Value: </w:t>
      </w:r>
      <w:r>
        <w:rPr>
          <w:rFonts w:ascii="Arial" w:cs="Arial" w:eastAsia="Arial" w:hAnsi="Arial"/>
          <w:color w:val="0E1020"/>
          <w:sz w:val="20"/>
          <w:szCs w:val="20"/>
        </w:rPr>
        <w:t xml:space="preserve">Current CSV as of valuation date</w:t>
      </w:r>
    </w:p>
    <w:p>
      <w:pPr>
        <w:pStyle w:val="ListParagraph"/>
        <w:numPr>
          <w:ilvl w:val="0"/>
          <w:numId w:val="2"/>
        </w:numPr>
        <w:spacing w:after="80"/>
      </w:pPr>
      <w:r>
        <w:rPr>
          <w:rFonts w:ascii="Arial" w:cs="Arial" w:eastAsia="Arial" w:hAnsi="Arial"/>
          <w:b/>
          <w:bCs/>
          <w:color w:val="0E1020"/>
          <w:sz w:val="20"/>
          <w:szCs w:val="20"/>
        </w:rPr>
        <w:t xml:space="preserve">Existing Loan Balance: </w:t>
      </w:r>
      <w:r>
        <w:rPr>
          <w:rFonts w:ascii="Arial" w:cs="Arial" w:eastAsia="Arial" w:hAnsi="Arial"/>
          <w:color w:val="0E1020"/>
          <w:sz w:val="20"/>
          <w:szCs w:val="20"/>
        </w:rPr>
        <w:t xml:space="preserve">Outstanding loan principal plus accrued interest</w:t>
      </w:r>
    </w:p>
    <w:p>
      <w:pPr>
        <w:pStyle w:val="ListParagraph"/>
        <w:numPr>
          <w:ilvl w:val="0"/>
          <w:numId w:val="2"/>
        </w:numPr>
        <w:spacing w:after="80"/>
      </w:pPr>
      <w:r>
        <w:rPr>
          <w:rFonts w:ascii="Arial" w:cs="Arial" w:eastAsia="Arial" w:hAnsi="Arial"/>
          <w:b/>
          <w:bCs/>
          <w:color w:val="0E1020"/>
          <w:sz w:val="20"/>
          <w:szCs w:val="20"/>
        </w:rPr>
        <w:t xml:space="preserve">Maximum Loan Available: </w:t>
      </w:r>
      <w:r>
        <w:rPr>
          <w:rFonts w:ascii="Arial" w:cs="Arial" w:eastAsia="Arial" w:hAnsi="Arial"/>
          <w:color w:val="0E1020"/>
          <w:sz w:val="20"/>
          <w:szCs w:val="20"/>
        </w:rPr>
        <w:t xml:space="preserve">CSV minus existing loans minus required reserve</w:t>
      </w:r>
    </w:p>
    <w:p>
      <w:pPr>
        <w:pStyle w:val="ListParagraph"/>
        <w:numPr>
          <w:ilvl w:val="0"/>
          <w:numId w:val="2"/>
        </w:numPr>
        <w:spacing w:after="80"/>
      </w:pPr>
      <w:r>
        <w:rPr>
          <w:rFonts w:ascii="Arial" w:cs="Arial" w:eastAsia="Arial" w:hAnsi="Arial"/>
          <w:b/>
          <w:bCs/>
          <w:color w:val="0E1020"/>
          <w:sz w:val="20"/>
          <w:szCs w:val="20"/>
        </w:rPr>
        <w:t xml:space="preserve">Free Withdrawal Amount: </w:t>
      </w:r>
      <w:r>
        <w:rPr>
          <w:rFonts w:ascii="Arial" w:cs="Arial" w:eastAsia="Arial" w:hAnsi="Arial"/>
          <w:color w:val="0E1020"/>
          <w:sz w:val="20"/>
          <w:szCs w:val="20"/>
        </w:rPr>
        <w:t xml:space="preserve">Remaining penalty-free withdrawal allowance for annuities</w:t>
      </w:r>
    </w:p>
    <w:p>
      <w:pPr>
        <w:pStyle w:val="ListParagraph"/>
        <w:numPr>
          <w:ilvl w:val="0"/>
          <w:numId w:val="2"/>
        </w:numPr>
        <w:spacing w:after="80"/>
      </w:pPr>
      <w:r>
        <w:rPr>
          <w:rFonts w:ascii="Arial" w:cs="Arial" w:eastAsia="Arial" w:hAnsi="Arial"/>
          <w:b/>
          <w:bCs/>
          <w:color w:val="0E1020"/>
          <w:sz w:val="20"/>
          <w:szCs w:val="20"/>
        </w:rPr>
        <w:t xml:space="preserve">Surrender Charge Schedule: </w:t>
      </w:r>
      <w:r>
        <w:rPr>
          <w:rFonts w:ascii="Arial" w:cs="Arial" w:eastAsia="Arial" w:hAnsi="Arial"/>
          <w:color w:val="0E1020"/>
          <w:sz w:val="20"/>
          <w:szCs w:val="20"/>
        </w:rPr>
        <w:t xml:space="preserve">Current surrender charge percentage and period remaining</w:t>
      </w:r>
    </w:p>
    <w:p>
      <w:pPr>
        <w:pStyle w:val="ListParagraph"/>
        <w:numPr>
          <w:ilvl w:val="0"/>
          <w:numId w:val="2"/>
        </w:numPr>
        <w:spacing w:after="80"/>
      </w:pPr>
      <w:r>
        <w:rPr>
          <w:rFonts w:ascii="Arial" w:cs="Arial" w:eastAsia="Arial" w:hAnsi="Arial"/>
          <w:b/>
          <w:bCs/>
          <w:color w:val="0E1020"/>
          <w:sz w:val="20"/>
          <w:szCs w:val="20"/>
        </w:rPr>
        <w:t xml:space="preserve">Owner/Insured Demographics: </w:t>
      </w:r>
      <w:r>
        <w:rPr>
          <w:rFonts w:ascii="Arial" w:cs="Arial" w:eastAsia="Arial" w:hAnsi="Arial"/>
          <w:color w:val="0E1020"/>
          <w:sz w:val="20"/>
          <w:szCs w:val="20"/>
        </w:rPr>
        <w:t xml:space="preserve">Name, SSN, DOB, address for identity verification against IDP data</w:t>
      </w:r>
    </w:p>
    <w:p>
      <w:pPr>
        <w:pStyle w:val="ListParagraph"/>
        <w:numPr>
          <w:ilvl w:val="0"/>
          <w:numId w:val="2"/>
        </w:numPr>
        <w:spacing w:after="80"/>
      </w:pPr>
      <w:r>
        <w:rPr>
          <w:rFonts w:ascii="Arial" w:cs="Arial" w:eastAsia="Arial" w:hAnsi="Arial"/>
          <w:b/>
          <w:bCs/>
          <w:color w:val="0E1020"/>
          <w:sz w:val="20"/>
          <w:szCs w:val="20"/>
        </w:rPr>
        <w:t xml:space="preserve">Tax Qualification: </w:t>
      </w:r>
      <w:r>
        <w:rPr>
          <w:rFonts w:ascii="Arial" w:cs="Arial" w:eastAsia="Arial" w:hAnsi="Arial"/>
          <w:color w:val="0E1020"/>
          <w:sz w:val="20"/>
          <w:szCs w:val="20"/>
        </w:rPr>
        <w:t xml:space="preserve">Qualified vs. non-qualified status, 1035 exchange eligibility, cost basis</w:t>
      </w:r>
    </w:p>
    <w:p>
      <w:pPr>
        <w:pStyle w:val="ListParagraph"/>
        <w:numPr>
          <w:ilvl w:val="0"/>
          <w:numId w:val="2"/>
        </w:numPr>
        <w:spacing w:after="80"/>
      </w:pPr>
      <w:r>
        <w:rPr>
          <w:rFonts w:ascii="Arial" w:cs="Arial" w:eastAsia="Arial" w:hAnsi="Arial"/>
          <w:b/>
          <w:bCs/>
          <w:color w:val="0E1020"/>
          <w:sz w:val="20"/>
          <w:szCs w:val="20"/>
        </w:rPr>
        <w:t xml:space="preserve">RMD Calculation Data: </w:t>
      </w:r>
      <w:r>
        <w:rPr>
          <w:rFonts w:ascii="Arial" w:cs="Arial" w:eastAsia="Arial" w:hAnsi="Arial"/>
          <w:color w:val="0E1020"/>
          <w:sz w:val="20"/>
          <w:szCs w:val="20"/>
        </w:rPr>
        <w:t xml:space="preserve">Owner DOB, account value, prior-year-end balance, distribution history YTD</w:t>
      </w:r>
    </w:p>
    <w:p>
      <w:pPr>
        <w:pStyle w:val="Heading2"/>
        <w:spacing w:before="280" w:after="160"/>
      </w:pPr>
      <w:r>
        <w:rPr>
          <w:rFonts w:ascii="Arial" w:cs="Arial" w:eastAsia="Arial" w:hAnsi="Arial"/>
          <w:b/>
          <w:bCs/>
          <w:color w:val="004AAC"/>
          <w:sz w:val="26"/>
          <w:szCs w:val="26"/>
        </w:rPr>
        <w:t xml:space="preserve">3.3 Workflow History Entities</w:t>
      </w:r>
    </w:p>
    <w:p>
      <w:pPr>
        <w:spacing w:after="160"/>
      </w:pPr>
      <w:r>
        <w:rPr>
          <w:rFonts w:ascii="Arial" w:cs="Arial" w:eastAsia="Arial" w:hAnsi="Arial"/>
          <w:color w:val="0E1020"/>
          <w:sz w:val="20"/>
          <w:szCs w:val="20"/>
        </w:rPr>
        <w:t xml:space="preserve">State and audit data generated as the case moves through the processing pipeline. These entities capture the decision trail and enable supervisory review.</w:t>
      </w:r>
    </w:p>
    <w:p>
      <w:pPr>
        <w:pStyle w:val="ListParagraph"/>
        <w:numPr>
          <w:ilvl w:val="0"/>
          <w:numId w:val="2"/>
        </w:numPr>
        <w:spacing w:after="80"/>
      </w:pPr>
      <w:r>
        <w:rPr>
          <w:rFonts w:ascii="Arial" w:cs="Arial" w:eastAsia="Arial" w:hAnsi="Arial"/>
          <w:b/>
          <w:bCs/>
          <w:color w:val="0E1020"/>
          <w:sz w:val="20"/>
          <w:szCs w:val="20"/>
        </w:rPr>
        <w:t xml:space="preserve">Case Status &amp; Timestamps: </w:t>
      </w:r>
      <w:r>
        <w:rPr>
          <w:rFonts w:ascii="Arial" w:cs="Arial" w:eastAsia="Arial" w:hAnsi="Arial"/>
          <w:color w:val="0E1020"/>
          <w:sz w:val="20"/>
          <w:szCs w:val="20"/>
        </w:rPr>
        <w:t xml:space="preserve">Created, triaged, assigned, completed, and all intermediate state transitions</w:t>
      </w:r>
    </w:p>
    <w:p>
      <w:pPr>
        <w:pStyle w:val="ListParagraph"/>
        <w:numPr>
          <w:ilvl w:val="0"/>
          <w:numId w:val="2"/>
        </w:numPr>
        <w:spacing w:after="80"/>
      </w:pPr>
      <w:r>
        <w:rPr>
          <w:rFonts w:ascii="Arial" w:cs="Arial" w:eastAsia="Arial" w:hAnsi="Arial"/>
          <w:b/>
          <w:bCs/>
          <w:color w:val="0E1020"/>
          <w:sz w:val="20"/>
          <w:szCs w:val="20"/>
        </w:rPr>
        <w:t xml:space="preserve">Triage Decision Record: </w:t>
      </w:r>
      <w:r>
        <w:rPr>
          <w:rFonts w:ascii="Arial" w:cs="Arial" w:eastAsia="Arial" w:hAnsi="Arial"/>
          <w:color w:val="0E1020"/>
          <w:sz w:val="20"/>
          <w:szCs w:val="20"/>
        </w:rPr>
        <w:t xml:space="preserve">Which decision table was evaluated, input values used, rule matched, touch level assigned, and the full evaluation log</w:t>
      </w:r>
    </w:p>
    <w:p>
      <w:pPr>
        <w:pStyle w:val="ListParagraph"/>
        <w:numPr>
          <w:ilvl w:val="0"/>
          <w:numId w:val="2"/>
        </w:numPr>
        <w:spacing w:after="80"/>
      </w:pPr>
      <w:r>
        <w:rPr>
          <w:rFonts w:ascii="Arial" w:cs="Arial" w:eastAsia="Arial" w:hAnsi="Arial"/>
          <w:b/>
          <w:bCs/>
          <w:color w:val="0E1020"/>
          <w:sz w:val="20"/>
          <w:szCs w:val="20"/>
        </w:rPr>
        <w:t xml:space="preserve">IDP Confidence Log: </w:t>
      </w:r>
      <w:r>
        <w:rPr>
          <w:rFonts w:ascii="Arial" w:cs="Arial" w:eastAsia="Arial" w:hAnsi="Arial"/>
          <w:color w:val="0E1020"/>
          <w:sz w:val="20"/>
          <w:szCs w:val="20"/>
        </w:rPr>
        <w:t xml:space="preserve">Per-field extraction confidence scores, fields flagged for human review, corrections made</w:t>
      </w:r>
    </w:p>
    <w:p>
      <w:pPr>
        <w:pStyle w:val="ListParagraph"/>
        <w:numPr>
          <w:ilvl w:val="0"/>
          <w:numId w:val="2"/>
        </w:numPr>
        <w:spacing w:after="80"/>
      </w:pPr>
      <w:r>
        <w:rPr>
          <w:rFonts w:ascii="Arial" w:cs="Arial" w:eastAsia="Arial" w:hAnsi="Arial"/>
          <w:b/>
          <w:bCs/>
          <w:color w:val="0E1020"/>
          <w:sz w:val="20"/>
          <w:szCs w:val="20"/>
        </w:rPr>
        <w:t xml:space="preserve">Validation Results: </w:t>
      </w:r>
      <w:r>
        <w:rPr>
          <w:rFonts w:ascii="Arial" w:cs="Arial" w:eastAsia="Arial" w:hAnsi="Arial"/>
          <w:color w:val="0E1020"/>
          <w:sz w:val="20"/>
          <w:szCs w:val="20"/>
        </w:rPr>
        <w:t xml:space="preserve">Good-order check outcomes, NIGO reasons, items sent back for customer completion</w:t>
      </w:r>
    </w:p>
    <w:p>
      <w:pPr>
        <w:pStyle w:val="ListParagraph"/>
        <w:numPr>
          <w:ilvl w:val="0"/>
          <w:numId w:val="2"/>
        </w:numPr>
        <w:spacing w:after="80"/>
      </w:pPr>
      <w:r>
        <w:rPr>
          <w:rFonts w:ascii="Arial" w:cs="Arial" w:eastAsia="Arial" w:hAnsi="Arial"/>
          <w:b/>
          <w:bCs/>
          <w:color w:val="0E1020"/>
          <w:sz w:val="20"/>
          <w:szCs w:val="20"/>
        </w:rPr>
        <w:t xml:space="preserve">Processor Actions: </w:t>
      </w:r>
      <w:r>
        <w:rPr>
          <w:rFonts w:ascii="Arial" w:cs="Arial" w:eastAsia="Arial" w:hAnsi="Arial"/>
          <w:color w:val="0E1020"/>
          <w:sz w:val="20"/>
          <w:szCs w:val="20"/>
        </w:rPr>
        <w:t xml:space="preserve">Who reviewed, what was approved or modified, override reasons, dual-authorization events</w:t>
      </w:r>
    </w:p>
    <w:p>
      <w:pPr>
        <w:pStyle w:val="ListParagraph"/>
        <w:numPr>
          <w:ilvl w:val="0"/>
          <w:numId w:val="2"/>
        </w:numPr>
        <w:spacing w:after="80"/>
      </w:pPr>
      <w:r>
        <w:rPr>
          <w:rFonts w:ascii="Arial" w:cs="Arial" w:eastAsia="Arial" w:hAnsi="Arial"/>
          <w:b/>
          <w:bCs/>
          <w:color w:val="0E1020"/>
          <w:sz w:val="20"/>
          <w:szCs w:val="20"/>
        </w:rPr>
        <w:t xml:space="preserve">Admin System Integration Status: </w:t>
      </w:r>
      <w:r>
        <w:rPr>
          <w:rFonts w:ascii="Arial" w:cs="Arial" w:eastAsia="Arial" w:hAnsi="Arial"/>
          <w:color w:val="0E1020"/>
          <w:sz w:val="20"/>
          <w:szCs w:val="20"/>
        </w:rPr>
        <w:t xml:space="preserve">API call timestamps, response codes, transaction confirmation numbers</w:t>
      </w:r>
    </w:p>
    <w:p>
      <w:r>
        <w:br w:type="page"/>
      </w:r>
    </w:p>
    <w:p>
      <w:pPr>
        <w:pStyle w:val="Heading1"/>
        <w:spacing w:before="360" w:after="200"/>
      </w:pPr>
      <w:r>
        <w:rPr>
          <w:rFonts w:ascii="Arial" w:cs="Arial" w:eastAsia="Arial" w:hAnsi="Arial"/>
          <w:b/>
          <w:bCs/>
          <w:color w:val="0E1020"/>
          <w:sz w:val="32"/>
          <w:szCs w:val="32"/>
        </w:rPr>
        <w:t xml:space="preserve">4. UI Layers &amp; Component Architecture</w:t>
      </w:r>
    </w:p>
    <w:p>
      <w:pPr>
        <w:spacing w:after="160"/>
      </w:pPr>
      <w:r>
        <w:rPr>
          <w:rFonts w:ascii="Arial" w:cs="Arial" w:eastAsia="Arial" w:hAnsi="Arial"/>
          <w:color w:val="0E1020"/>
          <w:sz w:val="20"/>
          <w:szCs w:val="20"/>
        </w:rPr>
        <w:t xml:space="preserve">The Smart App is organized into six UI layers, each corresponding to a horizontal band in the L&amp;A Process Framework. Each layer contains discrete, reusable components. This section specifies each component the hackathon team must build.</w:t>
      </w:r>
    </w:p>
    <w:p>
      <w:pPr>
        <w:pStyle w:val="Heading2"/>
        <w:spacing w:before="280" w:after="160"/>
      </w:pPr>
      <w:r>
        <w:rPr>
          <w:rFonts w:ascii="Arial" w:cs="Arial" w:eastAsia="Arial" w:hAnsi="Arial"/>
          <w:b/>
          <w:bCs/>
          <w:color w:val="004AAC"/>
          <w:sz w:val="26"/>
          <w:szCs w:val="26"/>
        </w:rPr>
        <w:t xml:space="preserve">4.1 Layer 1: Case Intake &amp; Channel Classification</w:t>
      </w:r>
    </w:p>
    <w:p>
      <w:pPr>
        <w:spacing w:after="160"/>
      </w:pPr>
      <w:r>
        <w:rPr>
          <w:rFonts w:ascii="Arial" w:cs="Arial" w:eastAsia="Arial" w:hAnsi="Arial"/>
          <w:color w:val="0E1020"/>
          <w:sz w:val="20"/>
          <w:szCs w:val="20"/>
        </w:rPr>
        <w:t xml:space="preserve">This layer receives inbound work from all customer channels and creates the case shell in ServiceNow FSO.</w:t>
      </w:r>
    </w:p>
    <w:p>
      <w:pPr>
        <w:pStyle w:val="Heading3"/>
        <w:spacing w:before="200" w:after="120"/>
      </w:pPr>
      <w:r>
        <w:rPr>
          <w:rFonts w:ascii="Arial" w:cs="Arial" w:eastAsia="Arial" w:hAnsi="Arial"/>
          <w:b/>
          <w:bCs/>
          <w:color w:val="0E1020"/>
          <w:sz w:val="22"/>
          <w:szCs w:val="22"/>
        </w:rPr>
        <w:t xml:space="preserve">Component 1A: Transaction Type Selector</w:t>
      </w:r>
    </w:p>
    <w:p>
      <w:pPr>
        <w:spacing w:after="160"/>
      </w:pPr>
      <w:r>
        <w:rPr>
          <w:rFonts w:ascii="Arial" w:cs="Arial" w:eastAsia="Arial" w:hAnsi="Arial"/>
          <w:color w:val="0E1020"/>
          <w:sz w:val="20"/>
          <w:szCs w:val="20"/>
        </w:rPr>
        <w:t xml:space="preserve">A configurable form that allows a CSR or automated process to select the financial transaction type from a registry. The selector drives all downstream behavior: which IDP template to invoke, which decision table to evaluate, and which form layout to render.</w:t>
      </w:r>
    </w:p>
    <w:p>
      <w:pPr>
        <w:pStyle w:val="ListParagraph"/>
        <w:numPr>
          <w:ilvl w:val="0"/>
          <w:numId w:val="2"/>
        </w:numPr>
        <w:spacing w:after="80"/>
      </w:pPr>
      <w:r>
        <w:rPr>
          <w:rFonts w:ascii="Arial" w:cs="Arial" w:eastAsia="Arial" w:hAnsi="Arial"/>
          <w:b/>
          <w:bCs/>
          <w:color w:val="0E1020"/>
          <w:sz w:val="20"/>
          <w:szCs w:val="20"/>
        </w:rPr>
        <w:t xml:space="preserve">UI Elements: </w:t>
      </w:r>
      <w:r>
        <w:rPr>
          <w:rFonts w:ascii="Arial" w:cs="Arial" w:eastAsia="Arial" w:hAnsi="Arial"/>
          <w:color w:val="0E1020"/>
          <w:sz w:val="20"/>
          <w:szCs w:val="20"/>
        </w:rPr>
        <w:t xml:space="preserve">Transaction type dropdown (Loan, Surrender, RMD, etc.), channel source tag (auto-populated from intake), policy/contract number entry field</w:t>
      </w:r>
    </w:p>
    <w:p>
      <w:pPr>
        <w:pStyle w:val="ListParagraph"/>
        <w:numPr>
          <w:ilvl w:val="0"/>
          <w:numId w:val="2"/>
        </w:numPr>
        <w:spacing w:after="80"/>
      </w:pPr>
      <w:r>
        <w:rPr>
          <w:rFonts w:ascii="Arial" w:cs="Arial" w:eastAsia="Arial" w:hAnsi="Arial"/>
          <w:b/>
          <w:bCs/>
          <w:color w:val="0E1020"/>
          <w:sz w:val="20"/>
          <w:szCs w:val="20"/>
        </w:rPr>
        <w:t xml:space="preserve">Behavior: </w:t>
      </w:r>
      <w:r>
        <w:rPr>
          <w:rFonts w:ascii="Arial" w:cs="Arial" w:eastAsia="Arial" w:hAnsi="Arial"/>
          <w:color w:val="0E1020"/>
          <w:sz w:val="20"/>
          <w:szCs w:val="20"/>
        </w:rPr>
        <w:t xml:space="preserve">On transaction type selection, the system loads the corresponding IDP extraction template, decision table reference, and form field configuration from a Transaction Type Registry table</w:t>
      </w:r>
    </w:p>
    <w:p>
      <w:pPr>
        <w:pStyle w:val="ListParagraph"/>
        <w:numPr>
          <w:ilvl w:val="0"/>
          <w:numId w:val="2"/>
        </w:numPr>
        <w:spacing w:after="80"/>
      </w:pPr>
      <w:r>
        <w:rPr>
          <w:rFonts w:ascii="Arial" w:cs="Arial" w:eastAsia="Arial" w:hAnsi="Arial"/>
          <w:b/>
          <w:bCs/>
          <w:color w:val="0E1020"/>
          <w:sz w:val="20"/>
          <w:szCs w:val="20"/>
        </w:rPr>
        <w:t xml:space="preserve">Configuration Point: </w:t>
      </w:r>
      <w:r>
        <w:rPr>
          <w:rFonts w:ascii="Arial" w:cs="Arial" w:eastAsia="Arial" w:hAnsi="Arial"/>
          <w:color w:val="0E1020"/>
          <w:sz w:val="20"/>
          <w:szCs w:val="20"/>
        </w:rPr>
        <w:t xml:space="preserve">The Transaction Type Registry is a ServiceNow table where new transaction types can be added without code changes</w:t>
      </w:r>
    </w:p>
    <w:p>
      <w:pPr>
        <w:pStyle w:val="Heading3"/>
        <w:spacing w:before="200" w:after="120"/>
      </w:pPr>
      <w:r>
        <w:rPr>
          <w:rFonts w:ascii="Arial" w:cs="Arial" w:eastAsia="Arial" w:hAnsi="Arial"/>
          <w:b/>
          <w:bCs/>
          <w:color w:val="0E1020"/>
          <w:sz w:val="22"/>
          <w:szCs w:val="22"/>
        </w:rPr>
        <w:t xml:space="preserve">Component 1B: Document Landing Zone</w:t>
      </w:r>
    </w:p>
    <w:p>
      <w:pPr>
        <w:spacing w:after="160"/>
      </w:pPr>
      <w:r>
        <w:rPr>
          <w:rFonts w:ascii="Arial" w:cs="Arial" w:eastAsia="Arial" w:hAnsi="Arial"/>
          <w:color w:val="0E1020"/>
          <w:sz w:val="20"/>
          <w:szCs w:val="20"/>
        </w:rPr>
        <w:t xml:space="preserve">Displays documents attached to the case from any channel. Documents are stored in the DMS and linked to the case. For mail/fax submissions, this component triggers IDP processing automatically.</w:t>
      </w:r>
    </w:p>
    <w:p>
      <w:pPr>
        <w:pStyle w:val="ListParagraph"/>
        <w:numPr>
          <w:ilvl w:val="0"/>
          <w:numId w:val="2"/>
        </w:numPr>
        <w:spacing w:after="80"/>
      </w:pPr>
      <w:r>
        <w:rPr>
          <w:rFonts w:ascii="Arial" w:cs="Arial" w:eastAsia="Arial" w:hAnsi="Arial"/>
          <w:b/>
          <w:bCs/>
          <w:color w:val="0E1020"/>
          <w:sz w:val="20"/>
          <w:szCs w:val="20"/>
        </w:rPr>
        <w:t xml:space="preserve">UI Elements: </w:t>
      </w:r>
      <w:r>
        <w:rPr>
          <w:rFonts w:ascii="Arial" w:cs="Arial" w:eastAsia="Arial" w:hAnsi="Arial"/>
          <w:color w:val="0E1020"/>
          <w:sz w:val="20"/>
          <w:szCs w:val="20"/>
        </w:rPr>
        <w:t xml:space="preserve">Document list with thumbnails, document type classification, IDP processing status indicator (queued, processing, complete, failed), manual upload capability</w:t>
      </w:r>
    </w:p>
    <w:p>
      <w:pPr>
        <w:pStyle w:val="ListParagraph"/>
        <w:numPr>
          <w:ilvl w:val="0"/>
          <w:numId w:val="2"/>
        </w:numPr>
        <w:spacing w:after="80"/>
      </w:pPr>
      <w:r>
        <w:rPr>
          <w:rFonts w:ascii="Arial" w:cs="Arial" w:eastAsia="Arial" w:hAnsi="Arial"/>
          <w:b/>
          <w:bCs/>
          <w:color w:val="0E1020"/>
          <w:sz w:val="20"/>
          <w:szCs w:val="20"/>
        </w:rPr>
        <w:t xml:space="preserve">Behavior: </w:t>
      </w:r>
      <w:r>
        <w:rPr>
          <w:rFonts w:ascii="Arial" w:cs="Arial" w:eastAsia="Arial" w:hAnsi="Arial"/>
          <w:color w:val="0E1020"/>
          <w:sz w:val="20"/>
          <w:szCs w:val="20"/>
        </w:rPr>
        <w:t xml:space="preserve">When a document lands, the system checks the Transaction Type Registry for the IDP template mapping and routes the document to the Assure IDP Service</w:t>
      </w:r>
    </w:p>
    <w:p>
      <w:pPr>
        <w:pStyle w:val="Heading2"/>
        <w:spacing w:before="280" w:after="160"/>
      </w:pPr>
      <w:r>
        <w:rPr>
          <w:rFonts w:ascii="Arial" w:cs="Arial" w:eastAsia="Arial" w:hAnsi="Arial"/>
          <w:b/>
          <w:bCs/>
          <w:color w:val="004AAC"/>
          <w:sz w:val="26"/>
          <w:szCs w:val="26"/>
        </w:rPr>
        <w:t xml:space="preserve">4.2 Layer 2: IDP Extraction &amp; Validation</w:t>
      </w:r>
    </w:p>
    <w:p>
      <w:pPr>
        <w:spacing w:after="160"/>
      </w:pPr>
      <w:r>
        <w:rPr>
          <w:rFonts w:ascii="Arial" w:cs="Arial" w:eastAsia="Arial" w:hAnsi="Arial"/>
          <w:color w:val="0E1020"/>
          <w:sz w:val="20"/>
          <w:szCs w:val="20"/>
        </w:rPr>
        <w:t xml:space="preserve">This layer manages the extraction of data entities from submitted forms and provides a human review interface for validation.</w:t>
      </w:r>
    </w:p>
    <w:p>
      <w:pPr>
        <w:pStyle w:val="Heading3"/>
        <w:spacing w:before="200" w:after="120"/>
      </w:pPr>
      <w:r>
        <w:rPr>
          <w:rFonts w:ascii="Arial" w:cs="Arial" w:eastAsia="Arial" w:hAnsi="Arial"/>
          <w:b/>
          <w:bCs/>
          <w:color w:val="0E1020"/>
          <w:sz w:val="22"/>
          <w:szCs w:val="22"/>
        </w:rPr>
        <w:t xml:space="preserve">Component 2A: Extraction Results Panel</w:t>
      </w:r>
    </w:p>
    <w:p>
      <w:pPr>
        <w:spacing w:after="160"/>
      </w:pPr>
      <w:r>
        <w:rPr>
          <w:rFonts w:ascii="Arial" w:cs="Arial" w:eastAsia="Arial" w:hAnsi="Arial"/>
          <w:color w:val="0E1020"/>
          <w:sz w:val="20"/>
          <w:szCs w:val="20"/>
        </w:rPr>
        <w:t xml:space="preserve">A side-by-side view showing the original document on the left and extracted field values on the right. Each extracted field displays its confidence score using a color-coded indicator.</w:t>
      </w:r>
    </w:p>
    <w:p>
      <w:pPr>
        <w:pStyle w:val="ListParagraph"/>
        <w:numPr>
          <w:ilvl w:val="0"/>
          <w:numId w:val="2"/>
        </w:numPr>
        <w:spacing w:after="80"/>
      </w:pPr>
      <w:r>
        <w:rPr>
          <w:rFonts w:ascii="Arial" w:cs="Arial" w:eastAsia="Arial" w:hAnsi="Arial"/>
          <w:b/>
          <w:bCs/>
          <w:color w:val="0E1020"/>
          <w:sz w:val="20"/>
          <w:szCs w:val="20"/>
        </w:rPr>
        <w:t xml:space="preserve">UI Elements: </w:t>
      </w:r>
      <w:r>
        <w:rPr>
          <w:rFonts w:ascii="Arial" w:cs="Arial" w:eastAsia="Arial" w:hAnsi="Arial"/>
          <w:color w:val="0E1020"/>
          <w:sz w:val="20"/>
          <w:szCs w:val="20"/>
        </w:rPr>
        <w:t xml:space="preserve">Split-pane layout: document viewer (left) and entity list (right). Each entity row shows field name, extracted value, confidence score badge (green &gt; 90%, yellow 70-90%, red &lt; 70%), and an edit icon</w:t>
      </w:r>
    </w:p>
    <w:p>
      <w:pPr>
        <w:pStyle w:val="ListParagraph"/>
        <w:numPr>
          <w:ilvl w:val="0"/>
          <w:numId w:val="2"/>
        </w:numPr>
        <w:spacing w:after="80"/>
      </w:pPr>
      <w:r>
        <w:rPr>
          <w:rFonts w:ascii="Arial" w:cs="Arial" w:eastAsia="Arial" w:hAnsi="Arial"/>
          <w:b/>
          <w:bCs/>
          <w:color w:val="0E1020"/>
          <w:sz w:val="20"/>
          <w:szCs w:val="20"/>
        </w:rPr>
        <w:t xml:space="preserve">Behavior: </w:t>
      </w:r>
      <w:r>
        <w:rPr>
          <w:rFonts w:ascii="Arial" w:cs="Arial" w:eastAsia="Arial" w:hAnsi="Arial"/>
          <w:color w:val="0E1020"/>
          <w:sz w:val="20"/>
          <w:szCs w:val="20"/>
        </w:rPr>
        <w:t xml:space="preserve">Fields below the confidence threshold (configurable per transaction type) are automatically highlighted for human review. Clicking a field in the entity list highlights the corresponding region in the document viewer</w:t>
      </w:r>
    </w:p>
    <w:p>
      <w:pPr>
        <w:pStyle w:val="ListParagraph"/>
        <w:numPr>
          <w:ilvl w:val="0"/>
          <w:numId w:val="2"/>
        </w:numPr>
        <w:spacing w:after="80"/>
      </w:pPr>
      <w:r>
        <w:rPr>
          <w:rFonts w:ascii="Arial" w:cs="Arial" w:eastAsia="Arial" w:hAnsi="Arial"/>
          <w:b/>
          <w:bCs/>
          <w:color w:val="0E1020"/>
          <w:sz w:val="20"/>
          <w:szCs w:val="20"/>
        </w:rPr>
        <w:t xml:space="preserve">Configuration Point: </w:t>
      </w:r>
      <w:r>
        <w:rPr>
          <w:rFonts w:ascii="Arial" w:cs="Arial" w:eastAsia="Arial" w:hAnsi="Arial"/>
          <w:color w:val="0E1020"/>
          <w:sz w:val="20"/>
          <w:szCs w:val="20"/>
        </w:rPr>
        <w:t xml:space="preserve">Confidence thresholds are stored per transaction type in the Transaction Type Registry</w:t>
      </w:r>
    </w:p>
    <w:p>
      <w:pPr>
        <w:pStyle w:val="Heading3"/>
        <w:spacing w:before="200" w:after="120"/>
      </w:pPr>
      <w:r>
        <w:rPr>
          <w:rFonts w:ascii="Arial" w:cs="Arial" w:eastAsia="Arial" w:hAnsi="Arial"/>
          <w:b/>
          <w:bCs/>
          <w:color w:val="0E1020"/>
          <w:sz w:val="22"/>
          <w:szCs w:val="22"/>
        </w:rPr>
        <w:t xml:space="preserve">Component 2B: Entity Validation Form</w:t>
      </w:r>
    </w:p>
    <w:p>
      <w:pPr>
        <w:spacing w:after="160"/>
      </w:pPr>
      <w:r>
        <w:rPr>
          <w:rFonts w:ascii="Arial" w:cs="Arial" w:eastAsia="Arial" w:hAnsi="Arial"/>
          <w:color w:val="0E1020"/>
          <w:sz w:val="20"/>
          <w:szCs w:val="20"/>
        </w:rPr>
        <w:t xml:space="preserve">A dynamic form generated from the IDP extraction results. The form layout is driven by the transaction type configuration and presents fields in logical groups (identity, financial, payment, tax).</w:t>
      </w:r>
    </w:p>
    <w:p>
      <w:pPr>
        <w:pStyle w:val="ListParagraph"/>
        <w:numPr>
          <w:ilvl w:val="0"/>
          <w:numId w:val="2"/>
        </w:numPr>
        <w:spacing w:after="80"/>
      </w:pPr>
      <w:r>
        <w:rPr>
          <w:rFonts w:ascii="Arial" w:cs="Arial" w:eastAsia="Arial" w:hAnsi="Arial"/>
          <w:b/>
          <w:bCs/>
          <w:color w:val="0E1020"/>
          <w:sz w:val="20"/>
          <w:szCs w:val="20"/>
        </w:rPr>
        <w:t xml:space="preserve">UI Elements: </w:t>
      </w:r>
      <w:r>
        <w:rPr>
          <w:rFonts w:ascii="Arial" w:cs="Arial" w:eastAsia="Arial" w:hAnsi="Arial"/>
          <w:color w:val="0E1020"/>
          <w:sz w:val="20"/>
          <w:szCs w:val="20"/>
        </w:rPr>
        <w:t xml:space="preserve">Grouped form sections with field-level validation indicators, cross-reference badge showing match/mismatch against policy entities, accept/reject action per field, bulk approve button for all high-confidence fields</w:t>
      </w:r>
    </w:p>
    <w:p>
      <w:pPr>
        <w:pStyle w:val="ListParagraph"/>
        <w:numPr>
          <w:ilvl w:val="0"/>
          <w:numId w:val="2"/>
        </w:numPr>
        <w:spacing w:after="80"/>
      </w:pPr>
      <w:r>
        <w:rPr>
          <w:rFonts w:ascii="Arial" w:cs="Arial" w:eastAsia="Arial" w:hAnsi="Arial"/>
          <w:b/>
          <w:bCs/>
          <w:color w:val="0E1020"/>
          <w:sz w:val="20"/>
          <w:szCs w:val="20"/>
        </w:rPr>
        <w:t xml:space="preserve">Behavior: </w:t>
      </w:r>
      <w:r>
        <w:rPr>
          <w:rFonts w:ascii="Arial" w:cs="Arial" w:eastAsia="Arial" w:hAnsi="Arial"/>
          <w:color w:val="0E1020"/>
          <w:sz w:val="20"/>
          <w:szCs w:val="20"/>
        </w:rPr>
        <w:t xml:space="preserve">When a user corrects an IDP-extracted value, the correction is logged in the workflow history entities. Once all required fields are validated, the component emits a validation-complete event that triggers triage</w:t>
      </w:r>
    </w:p>
    <w:p>
      <w:r>
        <w:br w:type="page"/>
      </w:r>
    </w:p>
    <w:p>
      <w:pPr>
        <w:pStyle w:val="Heading2"/>
        <w:spacing w:before="280" w:after="160"/>
      </w:pPr>
      <w:r>
        <w:rPr>
          <w:rFonts w:ascii="Arial" w:cs="Arial" w:eastAsia="Arial" w:hAnsi="Arial"/>
          <w:b/>
          <w:bCs/>
          <w:color w:val="004AAC"/>
          <w:sz w:val="26"/>
          <w:szCs w:val="26"/>
        </w:rPr>
        <w:t xml:space="preserve">4.3 Layer 3: Configurable Triage Engine</w:t>
      </w:r>
    </w:p>
    <w:p>
      <w:pPr>
        <w:spacing w:after="160"/>
      </w:pPr>
      <w:r>
        <w:rPr>
          <w:rFonts w:ascii="Arial" w:cs="Arial" w:eastAsia="Arial" w:hAnsi="Arial"/>
          <w:color w:val="0E1020"/>
          <w:sz w:val="20"/>
          <w:szCs w:val="20"/>
        </w:rPr>
        <w:t xml:space="preserve">This is the centerpiece of the hackathon effort. The triage engine evaluates validated entities against configurable decision tables to determine the appropriate touch level (STP, Low, Moderate, or High). The team must build both the runtime evaluation engine and the configuration UI that makes the process of building decision tables reusable.</w:t>
      </w:r>
    </w:p>
    <w:p>
      <w:pPr>
        <w:pStyle w:val="Heading3"/>
        <w:spacing w:before="200" w:after="120"/>
      </w:pPr>
      <w:r>
        <w:rPr>
          <w:rFonts w:ascii="Arial" w:cs="Arial" w:eastAsia="Arial" w:hAnsi="Arial"/>
          <w:b/>
          <w:bCs/>
          <w:color w:val="0E1020"/>
          <w:sz w:val="22"/>
          <w:szCs w:val="22"/>
        </w:rPr>
        <w:t xml:space="preserve">Component 3A: Triage Configuration UI (Decision Table Builder)</w:t>
      </w:r>
    </w:p>
    <w:p>
      <w:pPr>
        <w:spacing w:after="160"/>
      </w:pPr>
      <w:r>
        <w:rPr>
          <w:rFonts w:ascii="Arial" w:cs="Arial" w:eastAsia="Arial" w:hAnsi="Arial"/>
          <w:color w:val="0E1020"/>
          <w:sz w:val="20"/>
          <w:szCs w:val="20"/>
        </w:rPr>
        <w:t xml:space="preserve">An administrative interface that allows business users to create, modify, and test decision tables without developer involvement. This is the key to making the triage process reusable across all transaction types.</w:t>
      </w:r>
    </w:p>
    <w:p>
      <w:pPr>
        <w:spacing w:after="160"/>
      </w:pPr>
      <w:r>
        <w:rPr>
          <w:rFonts w:ascii="Arial" w:cs="Arial" w:eastAsia="Arial" w:hAnsi="Arial"/>
          <w:b/>
          <w:bCs/>
          <w:color w:val="0E1020"/>
          <w:sz w:val="20"/>
          <w:szCs w:val="20"/>
        </w:rPr>
        <w:t xml:space="preserve">Input Entity Selector: </w:t>
      </w:r>
      <w:r>
        <w:rPr>
          <w:rFonts w:ascii="Arial" w:cs="Arial" w:eastAsia="Arial" w:hAnsi="Arial"/>
          <w:color w:val="0E1020"/>
          <w:sz w:val="20"/>
          <w:szCs w:val="20"/>
        </w:rPr>
        <w:t xml:space="preserve">The left panel presents all available entity fields organized by source. Business users drag entities from three categorized pools into the decision table as input conditions.</w:t>
      </w:r>
    </w:p>
    <w:p>
      <w:pPr>
        <w:pStyle w:val="ListParagraph"/>
        <w:numPr>
          <w:ilvl w:val="0"/>
          <w:numId w:val="3"/>
        </w:numPr>
        <w:spacing w:after="80"/>
      </w:pPr>
      <w:r>
        <w:rPr>
          <w:rFonts w:ascii="Arial" w:cs="Arial" w:eastAsia="Arial" w:hAnsi="Arial"/>
          <w:color w:val="0E1020"/>
          <w:sz w:val="20"/>
          <w:szCs w:val="20"/>
        </w:rPr>
        <w:t xml:space="preserve">IDP Entities pool: all extracted fields for the selected transaction type (requested amount, loan type, payment method, etc.)</w:t>
      </w:r>
    </w:p>
    <w:p>
      <w:pPr>
        <w:pStyle w:val="ListParagraph"/>
        <w:numPr>
          <w:ilvl w:val="0"/>
          <w:numId w:val="3"/>
        </w:numPr>
        <w:spacing w:after="80"/>
      </w:pPr>
      <w:r>
        <w:rPr>
          <w:rFonts w:ascii="Arial" w:cs="Arial" w:eastAsia="Arial" w:hAnsi="Arial"/>
          <w:color w:val="0E1020"/>
          <w:sz w:val="20"/>
          <w:szCs w:val="20"/>
        </w:rPr>
        <w:t xml:space="preserve">Policy Entities pool: all admin system fields (policy status, CSV, existing loan balance, surrender charge, RMD eligibility, etc.)</w:t>
      </w:r>
    </w:p>
    <w:p>
      <w:pPr>
        <w:pStyle w:val="ListParagraph"/>
        <w:numPr>
          <w:ilvl w:val="0"/>
          <w:numId w:val="3"/>
        </w:numPr>
        <w:spacing w:after="80"/>
      </w:pPr>
      <w:r>
        <w:rPr>
          <w:rFonts w:ascii="Arial" w:cs="Arial" w:eastAsia="Arial" w:hAnsi="Arial"/>
          <w:color w:val="0E1020"/>
          <w:sz w:val="20"/>
          <w:szCs w:val="20"/>
        </w:rPr>
        <w:t xml:space="preserve">Workflow History Entities pool: case-level metadata (channel source, IDP confidence summary, prior transaction count, etc.)</w:t>
      </w:r>
    </w:p>
    <w:p>
      <w:pPr>
        <w:spacing w:after="160"/>
      </w:pPr>
      <w:r>
        <w:rPr>
          <w:rFonts w:ascii="Arial" w:cs="Arial" w:eastAsia="Arial" w:hAnsi="Arial"/>
          <w:b/>
          <w:bCs/>
          <w:color w:val="0E1020"/>
          <w:sz w:val="20"/>
          <w:szCs w:val="20"/>
        </w:rPr>
        <w:t xml:space="preserve">Decision Table Canvas: </w:t>
      </w:r>
      <w:r>
        <w:rPr>
          <w:rFonts w:ascii="Arial" w:cs="Arial" w:eastAsia="Arial" w:hAnsi="Arial"/>
          <w:color w:val="0E1020"/>
          <w:sz w:val="20"/>
          <w:szCs w:val="20"/>
        </w:rPr>
        <w:t xml:space="preserve">The center panel is a spreadsheet-style grid where each row represents a rule. Columns are dynamically added when entities are dragged from the input selector. The final column in every row is the output: the assigned touch level.</w:t>
      </w:r>
    </w:p>
    <w:p>
      <w:pPr>
        <w:pStyle w:val="ListParagraph"/>
        <w:numPr>
          <w:ilvl w:val="0"/>
          <w:numId w:val="3"/>
        </w:numPr>
        <w:spacing w:after="80"/>
      </w:pPr>
      <w:r>
        <w:rPr>
          <w:rFonts w:ascii="Arial" w:cs="Arial" w:eastAsia="Arial" w:hAnsi="Arial"/>
          <w:color w:val="0E1020"/>
          <w:sz w:val="20"/>
          <w:szCs w:val="20"/>
        </w:rPr>
        <w:t xml:space="preserve">Each column supports operator configuration: equals, greater than, less than, between, contains, is blank, is not blank</w:t>
      </w:r>
    </w:p>
    <w:p>
      <w:pPr>
        <w:pStyle w:val="ListParagraph"/>
        <w:numPr>
          <w:ilvl w:val="0"/>
          <w:numId w:val="3"/>
        </w:numPr>
        <w:spacing w:after="80"/>
      </w:pPr>
      <w:r>
        <w:rPr>
          <w:rFonts w:ascii="Arial" w:cs="Arial" w:eastAsia="Arial" w:hAnsi="Arial"/>
          <w:color w:val="0E1020"/>
          <w:sz w:val="20"/>
          <w:szCs w:val="20"/>
        </w:rPr>
        <w:t xml:space="preserve">Rules are evaluated top-to-bottom; first match wins. A default/catch-all row is required at the bottom</w:t>
      </w:r>
    </w:p>
    <w:p>
      <w:pPr>
        <w:pStyle w:val="ListParagraph"/>
        <w:numPr>
          <w:ilvl w:val="0"/>
          <w:numId w:val="3"/>
        </w:numPr>
        <w:spacing w:after="80"/>
      </w:pPr>
      <w:r>
        <w:rPr>
          <w:rFonts w:ascii="Arial" w:cs="Arial" w:eastAsia="Arial" w:hAnsi="Arial"/>
          <w:color w:val="0E1020"/>
          <w:sz w:val="20"/>
          <w:szCs w:val="20"/>
        </w:rPr>
        <w:t xml:space="preserve">The output column options are: STP (straight-through processing), Low Touch, Moderate Touch, High Touch</w:t>
      </w:r>
    </w:p>
    <w:p>
      <w:pPr>
        <w:spacing w:after="160"/>
      </w:pPr>
      <w:r>
        <w:rPr>
          <w:rFonts w:ascii="Arial" w:cs="Arial" w:eastAsia="Arial" w:hAnsi="Arial"/>
          <w:b/>
          <w:bCs/>
          <w:color w:val="0E1020"/>
          <w:sz w:val="20"/>
          <w:szCs w:val="20"/>
        </w:rPr>
        <w:t xml:space="preserve">Rule Preview &amp; Test Harness: </w:t>
      </w:r>
      <w:r>
        <w:rPr>
          <w:rFonts w:ascii="Arial" w:cs="Arial" w:eastAsia="Arial" w:hAnsi="Arial"/>
          <w:color w:val="0E1020"/>
          <w:sz w:val="20"/>
          <w:szCs w:val="20"/>
        </w:rPr>
        <w:t xml:space="preserve">The right panel allows users to input sample entity values and see which rule would fire, providing instant feedback during table construction.</w:t>
      </w:r>
    </w:p>
    <w:p>
      <w:pPr>
        <w:pStyle w:val="ListParagraph"/>
        <w:numPr>
          <w:ilvl w:val="0"/>
          <w:numId w:val="3"/>
        </w:numPr>
        <w:spacing w:after="80"/>
      </w:pPr>
      <w:r>
        <w:rPr>
          <w:rFonts w:ascii="Arial" w:cs="Arial" w:eastAsia="Arial" w:hAnsi="Arial"/>
          <w:color w:val="0E1020"/>
          <w:sz w:val="20"/>
          <w:szCs w:val="20"/>
        </w:rPr>
        <w:t xml:space="preserve">Test mode accepts manual value entry or can pull from an existing case for regression testing</w:t>
      </w:r>
    </w:p>
    <w:p>
      <w:pPr>
        <w:pStyle w:val="ListParagraph"/>
        <w:numPr>
          <w:ilvl w:val="0"/>
          <w:numId w:val="3"/>
        </w:numPr>
        <w:spacing w:after="80"/>
      </w:pPr>
      <w:r>
        <w:rPr>
          <w:rFonts w:ascii="Arial" w:cs="Arial" w:eastAsia="Arial" w:hAnsi="Arial"/>
          <w:color w:val="0E1020"/>
          <w:sz w:val="20"/>
          <w:szCs w:val="20"/>
        </w:rPr>
        <w:t xml:space="preserve">The result shows the matched rule highlighted, the output touch level, and the evaluation path</w:t>
      </w:r>
    </w:p>
    <w:p>
      <w:pPr>
        <w:pStyle w:val="Heading3"/>
        <w:spacing w:before="200" w:after="120"/>
      </w:pPr>
      <w:r>
        <w:rPr>
          <w:rFonts w:ascii="Arial" w:cs="Arial" w:eastAsia="Arial" w:hAnsi="Arial"/>
          <w:b/>
          <w:bCs/>
          <w:color w:val="0E1020"/>
          <w:sz w:val="22"/>
          <w:szCs w:val="22"/>
        </w:rPr>
        <w:t xml:space="preserve">Component 3B: Triage Runtime Engine</w:t>
      </w:r>
    </w:p>
    <w:p>
      <w:pPr>
        <w:spacing w:after="160"/>
      </w:pPr>
      <w:r>
        <w:rPr>
          <w:rFonts w:ascii="Arial" w:cs="Arial" w:eastAsia="Arial" w:hAnsi="Arial"/>
          <w:color w:val="0E1020"/>
          <w:sz w:val="20"/>
          <w:szCs w:val="20"/>
        </w:rPr>
        <w:t xml:space="preserve">The server-side component that evaluates a case against its assigned decision table at the point of triage. This component consumes the three entity classes, resolves the applicable decision table from the Transaction Type Registry, evaluates rules sequentially, and emits a triage result.</w:t>
      </w:r>
    </w:p>
    <w:p>
      <w:pPr>
        <w:pStyle w:val="ListParagraph"/>
        <w:numPr>
          <w:ilvl w:val="0"/>
          <w:numId w:val="2"/>
        </w:numPr>
        <w:spacing w:after="80"/>
      </w:pPr>
      <w:r>
        <w:rPr>
          <w:rFonts w:ascii="Arial" w:cs="Arial" w:eastAsia="Arial" w:hAnsi="Arial"/>
          <w:b/>
          <w:bCs/>
          <w:color w:val="0E1020"/>
          <w:sz w:val="20"/>
          <w:szCs w:val="20"/>
        </w:rPr>
        <w:t xml:space="preserve">Inputs: </w:t>
      </w:r>
      <w:r>
        <w:rPr>
          <w:rFonts w:ascii="Arial" w:cs="Arial" w:eastAsia="Arial" w:hAnsi="Arial"/>
          <w:color w:val="0E1020"/>
          <w:sz w:val="20"/>
          <w:szCs w:val="20"/>
        </w:rPr>
        <w:t xml:space="preserve">Case ID, transaction type, all validated IDP entities, all retrieved policy entities, relevant workflow history entities</w:t>
      </w:r>
    </w:p>
    <w:p>
      <w:pPr>
        <w:pStyle w:val="ListParagraph"/>
        <w:numPr>
          <w:ilvl w:val="0"/>
          <w:numId w:val="2"/>
        </w:numPr>
        <w:spacing w:after="80"/>
      </w:pPr>
      <w:r>
        <w:rPr>
          <w:rFonts w:ascii="Arial" w:cs="Arial" w:eastAsia="Arial" w:hAnsi="Arial"/>
          <w:b/>
          <w:bCs/>
          <w:color w:val="0E1020"/>
          <w:sz w:val="20"/>
          <w:szCs w:val="20"/>
        </w:rPr>
        <w:t xml:space="preserve">Outputs: </w:t>
      </w:r>
      <w:r>
        <w:rPr>
          <w:rFonts w:ascii="Arial" w:cs="Arial" w:eastAsia="Arial" w:hAnsi="Arial"/>
          <w:color w:val="0E1020"/>
          <w:sz w:val="20"/>
          <w:szCs w:val="20"/>
        </w:rPr>
        <w:t xml:space="preserve">Assigned touch level, matched rule ID, full evaluation log (which rules were checked, which conditions passed/failed), timestamp</w:t>
      </w:r>
    </w:p>
    <w:p>
      <w:pPr>
        <w:pStyle w:val="ListParagraph"/>
        <w:numPr>
          <w:ilvl w:val="0"/>
          <w:numId w:val="2"/>
        </w:numPr>
        <w:spacing w:after="80"/>
      </w:pPr>
      <w:r>
        <w:rPr>
          <w:rFonts w:ascii="Arial" w:cs="Arial" w:eastAsia="Arial" w:hAnsi="Arial"/>
          <w:b/>
          <w:bCs/>
          <w:color w:val="0E1020"/>
          <w:sz w:val="20"/>
          <w:szCs w:val="20"/>
        </w:rPr>
        <w:t xml:space="preserve">Behavior: </w:t>
      </w:r>
      <w:r>
        <w:rPr>
          <w:rFonts w:ascii="Arial" w:cs="Arial" w:eastAsia="Arial" w:hAnsi="Arial"/>
          <w:color w:val="0E1020"/>
          <w:sz w:val="20"/>
          <w:szCs w:val="20"/>
        </w:rPr>
        <w:t xml:space="preserve">The engine writes the triage result to the workflow history entities and routes the case to the appropriate touch-level workspace</w:t>
      </w:r>
    </w:p>
    <w:p>
      <w:pPr>
        <w:pStyle w:val="Heading3"/>
        <w:spacing w:before="200" w:after="120"/>
      </w:pPr>
      <w:r>
        <w:rPr>
          <w:rFonts w:ascii="Arial" w:cs="Arial" w:eastAsia="Arial" w:hAnsi="Arial"/>
          <w:b/>
          <w:bCs/>
          <w:color w:val="0E1020"/>
          <w:sz w:val="22"/>
          <w:szCs w:val="22"/>
        </w:rPr>
        <w:t xml:space="preserve">Component 3C: Triage Decision Summary Card</w:t>
      </w:r>
    </w:p>
    <w:p>
      <w:pPr>
        <w:spacing w:after="160"/>
      </w:pPr>
      <w:r>
        <w:rPr>
          <w:rFonts w:ascii="Arial" w:cs="Arial" w:eastAsia="Arial" w:hAnsi="Arial"/>
          <w:color w:val="0E1020"/>
          <w:sz w:val="20"/>
          <w:szCs w:val="20"/>
        </w:rPr>
        <w:t xml:space="preserve">A compact UI card displayed at the top of the processing workspace showing the triage result. This gives processors immediate context on why the case was routed to their queue.</w:t>
      </w:r>
    </w:p>
    <w:p>
      <w:pPr>
        <w:pStyle w:val="ListParagraph"/>
        <w:numPr>
          <w:ilvl w:val="0"/>
          <w:numId w:val="2"/>
        </w:numPr>
        <w:spacing w:after="80"/>
      </w:pPr>
      <w:r>
        <w:rPr>
          <w:rFonts w:ascii="Arial" w:cs="Arial" w:eastAsia="Arial" w:hAnsi="Arial"/>
          <w:b/>
          <w:bCs/>
          <w:color w:val="0E1020"/>
          <w:sz w:val="20"/>
          <w:szCs w:val="20"/>
        </w:rPr>
        <w:t xml:space="preserve">UI Elements: </w:t>
      </w:r>
      <w:r>
        <w:rPr>
          <w:rFonts w:ascii="Arial" w:cs="Arial" w:eastAsia="Arial" w:hAnsi="Arial"/>
          <w:color w:val="0E1020"/>
          <w:sz w:val="20"/>
          <w:szCs w:val="20"/>
        </w:rPr>
        <w:t xml:space="preserve">Touch level badge (color-coded: green=STP, blue=Low, gold=Moderate, red=High), matched rule description, key input values that drove the decision, link to full evaluation log</w:t>
      </w:r>
    </w:p>
    <w:p>
      <w:pPr>
        <w:pStyle w:val="ListParagraph"/>
        <w:numPr>
          <w:ilvl w:val="0"/>
          <w:numId w:val="2"/>
        </w:numPr>
        <w:spacing w:after="80"/>
      </w:pPr>
      <w:r>
        <w:rPr>
          <w:rFonts w:ascii="Arial" w:cs="Arial" w:eastAsia="Arial" w:hAnsi="Arial"/>
          <w:b/>
          <w:bCs/>
          <w:color w:val="0E1020"/>
          <w:sz w:val="20"/>
          <w:szCs w:val="20"/>
        </w:rPr>
        <w:t xml:space="preserve">Behavior: </w:t>
      </w:r>
      <w:r>
        <w:rPr>
          <w:rFonts w:ascii="Arial" w:cs="Arial" w:eastAsia="Arial" w:hAnsi="Arial"/>
          <w:color w:val="0E1020"/>
          <w:sz w:val="20"/>
          <w:szCs w:val="20"/>
        </w:rPr>
        <w:t xml:space="preserve">Clicking the card expands to show the complete evaluation detail from the triage engine</w:t>
      </w:r>
    </w:p>
    <w:p>
      <w:pPr>
        <w:pStyle w:val="Heading3"/>
        <w:spacing w:before="200" w:after="120"/>
      </w:pPr>
      <w:r>
        <w:rPr>
          <w:rFonts w:ascii="Arial" w:cs="Arial" w:eastAsia="Arial" w:hAnsi="Arial"/>
          <w:b/>
          <w:bCs/>
          <w:color w:val="0E1020"/>
          <w:sz w:val="22"/>
          <w:szCs w:val="22"/>
        </w:rPr>
        <w:t xml:space="preserve">Example: Loan Decision Table</w:t>
      </w:r>
    </w:p>
    <w:p>
      <w:pPr>
        <w:spacing w:after="160"/>
      </w:pPr>
      <w:r>
        <w:rPr>
          <w:rFonts w:ascii="Arial" w:cs="Arial" w:eastAsia="Arial" w:hAnsi="Arial"/>
          <w:color w:val="0E1020"/>
          <w:sz w:val="20"/>
          <w:szCs w:val="20"/>
        </w:rPr>
        <w:t xml:space="preserve">The following illustrates how a loan transaction decision table might be configured using the Decision Table Builder. The hackathon team will use this as the seed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500"/>
        <w:gridCol w:w="1460"/>
        <w:gridCol w:w="1500"/>
        <w:gridCol w:w="1500"/>
        <w:gridCol w:w="2000"/>
      </w:tblGrid>
      <w:tr>
        <w:tc>
          <w:tcPr>
            <w:tcW w:type="dxa" w:w="1400"/>
            <w:tcBorders>
              <w:top w:val="single" w:color="D0CCC7" w:sz="1"/>
              <w:left w:val="single" w:color="D0CCC7" w:sz="1"/>
              <w:bottom w:val="single" w:color="D0CCC7" w:sz="1"/>
              <w:right w:val="single" w:color="D0CCC7" w:sz="1"/>
            </w:tcBorders>
            <w:shd w:fill="004AAC" w:val="clear"/>
            <w:tcMar>
              <w:top w:type="dxa" w:w="80"/>
              <w:left w:type="dxa" w:w="120"/>
              <w:bottom w:type="dxa" w:w="80"/>
              <w:right w:type="dxa" w:w="120"/>
            </w:tcMar>
            <w:vAlign w:val="center"/>
          </w:tcPr>
          <w:p>
            <w:r>
              <w:rPr>
                <w:rFonts w:ascii="Arial" w:cs="Arial" w:eastAsia="Arial" w:hAnsi="Arial"/>
                <w:b/>
                <w:bCs/>
                <w:color w:val="FFFFFF"/>
                <w:sz w:val="20"/>
                <w:szCs w:val="20"/>
              </w:rPr>
              <w:t xml:space="preserve">Rule #</w:t>
            </w:r>
          </w:p>
        </w:tc>
        <w:tc>
          <w:tcPr>
            <w:tcW w:type="dxa" w:w="1500"/>
            <w:tcBorders>
              <w:top w:val="single" w:color="D0CCC7" w:sz="1"/>
              <w:left w:val="single" w:color="D0CCC7" w:sz="1"/>
              <w:bottom w:val="single" w:color="D0CCC7" w:sz="1"/>
              <w:right w:val="single" w:color="D0CCC7" w:sz="1"/>
            </w:tcBorders>
            <w:shd w:fill="004AAC" w:val="clear"/>
            <w:tcMar>
              <w:top w:type="dxa" w:w="80"/>
              <w:left w:type="dxa" w:w="120"/>
              <w:bottom w:type="dxa" w:w="80"/>
              <w:right w:type="dxa" w:w="120"/>
            </w:tcMar>
            <w:vAlign w:val="center"/>
          </w:tcPr>
          <w:p>
            <w:r>
              <w:rPr>
                <w:rFonts w:ascii="Arial" w:cs="Arial" w:eastAsia="Arial" w:hAnsi="Arial"/>
                <w:b/>
                <w:bCs/>
                <w:color w:val="FFFFFF"/>
                <w:sz w:val="20"/>
                <w:szCs w:val="20"/>
              </w:rPr>
              <w:t xml:space="preserve">Loan Amount vs Max</w:t>
            </w:r>
          </w:p>
        </w:tc>
        <w:tc>
          <w:tcPr>
            <w:tcW w:type="dxa" w:w="1460"/>
            <w:tcBorders>
              <w:top w:val="single" w:color="D0CCC7" w:sz="1"/>
              <w:left w:val="single" w:color="D0CCC7" w:sz="1"/>
              <w:bottom w:val="single" w:color="D0CCC7" w:sz="1"/>
              <w:right w:val="single" w:color="D0CCC7" w:sz="1"/>
            </w:tcBorders>
            <w:shd w:fill="004AAC" w:val="clear"/>
            <w:tcMar>
              <w:top w:type="dxa" w:w="80"/>
              <w:left w:type="dxa" w:w="120"/>
              <w:bottom w:type="dxa" w:w="80"/>
              <w:right w:type="dxa" w:w="120"/>
            </w:tcMar>
            <w:vAlign w:val="center"/>
          </w:tcPr>
          <w:p>
            <w:r>
              <w:rPr>
                <w:rFonts w:ascii="Arial" w:cs="Arial" w:eastAsia="Arial" w:hAnsi="Arial"/>
                <w:b/>
                <w:bCs/>
                <w:color w:val="FFFFFF"/>
                <w:sz w:val="20"/>
                <w:szCs w:val="20"/>
              </w:rPr>
              <w:t xml:space="preserve">Policy Status</w:t>
            </w:r>
          </w:p>
        </w:tc>
        <w:tc>
          <w:tcPr>
            <w:tcW w:type="dxa" w:w="1500"/>
            <w:tcBorders>
              <w:top w:val="single" w:color="D0CCC7" w:sz="1"/>
              <w:left w:val="single" w:color="D0CCC7" w:sz="1"/>
              <w:bottom w:val="single" w:color="D0CCC7" w:sz="1"/>
              <w:right w:val="single" w:color="D0CCC7" w:sz="1"/>
            </w:tcBorders>
            <w:shd w:fill="004AAC" w:val="clear"/>
            <w:tcMar>
              <w:top w:type="dxa" w:w="80"/>
              <w:left w:type="dxa" w:w="120"/>
              <w:bottom w:type="dxa" w:w="80"/>
              <w:right w:type="dxa" w:w="120"/>
            </w:tcMar>
            <w:vAlign w:val="center"/>
          </w:tcPr>
          <w:p>
            <w:r>
              <w:rPr>
                <w:rFonts w:ascii="Arial" w:cs="Arial" w:eastAsia="Arial" w:hAnsi="Arial"/>
                <w:b/>
                <w:bCs/>
                <w:color w:val="FFFFFF"/>
                <w:sz w:val="20"/>
                <w:szCs w:val="20"/>
              </w:rPr>
              <w:t xml:space="preserve">IDP Confidence</w:t>
            </w:r>
          </w:p>
        </w:tc>
        <w:tc>
          <w:tcPr>
            <w:tcW w:type="dxa" w:w="1500"/>
            <w:tcBorders>
              <w:top w:val="single" w:color="D0CCC7" w:sz="1"/>
              <w:left w:val="single" w:color="D0CCC7" w:sz="1"/>
              <w:bottom w:val="single" w:color="D0CCC7" w:sz="1"/>
              <w:right w:val="single" w:color="D0CCC7" w:sz="1"/>
            </w:tcBorders>
            <w:shd w:fill="004AAC" w:val="clear"/>
            <w:tcMar>
              <w:top w:type="dxa" w:w="80"/>
              <w:left w:type="dxa" w:w="120"/>
              <w:bottom w:type="dxa" w:w="80"/>
              <w:right w:type="dxa" w:w="120"/>
            </w:tcMar>
            <w:vAlign w:val="center"/>
          </w:tcPr>
          <w:p>
            <w:r>
              <w:rPr>
                <w:rFonts w:ascii="Arial" w:cs="Arial" w:eastAsia="Arial" w:hAnsi="Arial"/>
                <w:b/>
                <w:bCs/>
                <w:color w:val="FFFFFF"/>
                <w:sz w:val="20"/>
                <w:szCs w:val="20"/>
              </w:rPr>
              <w:t xml:space="preserve">Existing Loan</w:t>
            </w:r>
          </w:p>
        </w:tc>
        <w:tc>
          <w:tcPr>
            <w:tcW w:type="dxa" w:w="2000"/>
            <w:tcBorders>
              <w:top w:val="single" w:color="D0CCC7" w:sz="1"/>
              <w:left w:val="single" w:color="D0CCC7" w:sz="1"/>
              <w:bottom w:val="single" w:color="D0CCC7" w:sz="1"/>
              <w:right w:val="single" w:color="D0CCC7" w:sz="1"/>
            </w:tcBorders>
            <w:shd w:fill="004AAC" w:val="clear"/>
            <w:tcMar>
              <w:top w:type="dxa" w:w="80"/>
              <w:left w:type="dxa" w:w="120"/>
              <w:bottom w:type="dxa" w:w="80"/>
              <w:right w:type="dxa" w:w="120"/>
            </w:tcMar>
            <w:vAlign w:val="center"/>
          </w:tcPr>
          <w:p>
            <w:r>
              <w:rPr>
                <w:rFonts w:ascii="Arial" w:cs="Arial" w:eastAsia="Arial" w:hAnsi="Arial"/>
                <w:b/>
                <w:bCs/>
                <w:color w:val="FFFFFF"/>
                <w:sz w:val="20"/>
                <w:szCs w:val="20"/>
              </w:rPr>
              <w:t xml:space="preserve">Output: Touch Level</w:t>
            </w:r>
          </w:p>
        </w:tc>
      </w:tr>
      <w:tr>
        <w:tc>
          <w:tcPr>
            <w:tcW w:type="dxa" w:w="140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val="false"/>
                <w:bCs w:val="false"/>
                <w:color w:val="0E1020"/>
                <w:sz w:val="20"/>
                <w:szCs w:val="20"/>
              </w:rPr>
              <w:t xml:space="preserve">1</w:t>
            </w:r>
          </w:p>
        </w:tc>
        <w:tc>
          <w:tcPr>
            <w:tcW w:type="dxa" w:w="150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val="false"/>
                <w:bCs w:val="false"/>
                <w:color w:val="0E1020"/>
                <w:sz w:val="20"/>
                <w:szCs w:val="20"/>
              </w:rPr>
              <w:t xml:space="preserve">&lt; 50% of max</w:t>
            </w:r>
          </w:p>
        </w:tc>
        <w:tc>
          <w:tcPr>
            <w:tcW w:type="dxa" w:w="146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val="false"/>
                <w:bCs w:val="false"/>
                <w:color w:val="0E1020"/>
                <w:sz w:val="20"/>
                <w:szCs w:val="20"/>
              </w:rPr>
              <w:t xml:space="preserve">Active</w:t>
            </w:r>
          </w:p>
        </w:tc>
        <w:tc>
          <w:tcPr>
            <w:tcW w:type="dxa" w:w="150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val="false"/>
                <w:bCs w:val="false"/>
                <w:color w:val="0E1020"/>
                <w:sz w:val="20"/>
                <w:szCs w:val="20"/>
              </w:rPr>
              <w:t xml:space="preserve">&gt; 95%</w:t>
            </w:r>
          </w:p>
        </w:tc>
        <w:tc>
          <w:tcPr>
            <w:tcW w:type="dxa" w:w="150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val="false"/>
                <w:bCs w:val="false"/>
                <w:color w:val="0E1020"/>
                <w:sz w:val="20"/>
                <w:szCs w:val="20"/>
              </w:rPr>
              <w:t xml:space="preserve">None</w:t>
            </w:r>
          </w:p>
        </w:tc>
        <w:tc>
          <w:tcPr>
            <w:tcW w:type="dxa" w:w="200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bCs/>
                <w:color w:val="2E8B57"/>
                <w:sz w:val="20"/>
                <w:szCs w:val="20"/>
              </w:rPr>
              <w:t xml:space="preserve">STP</w:t>
            </w:r>
          </w:p>
        </w:tc>
      </w:tr>
      <w:tr>
        <w:tc>
          <w:tcPr>
            <w:tcW w:type="dxa" w:w="1400"/>
            <w:tcBorders>
              <w:top w:val="single" w:color="D0CCC7" w:sz="1"/>
              <w:left w:val="single" w:color="D0CCC7" w:sz="1"/>
              <w:bottom w:val="single" w:color="D0CCC7" w:sz="1"/>
              <w:right w:val="single" w:color="D0CCC7" w:sz="1"/>
            </w:tcBorders>
            <w:shd w:fill="F6F3F0" w:val="clear"/>
            <w:tcMar>
              <w:top w:type="dxa" w:w="80"/>
              <w:left w:type="dxa" w:w="120"/>
              <w:bottom w:type="dxa" w:w="80"/>
              <w:right w:type="dxa" w:w="120"/>
            </w:tcMar>
          </w:tcPr>
          <w:p>
            <w:r>
              <w:rPr>
                <w:rFonts w:ascii="Arial" w:cs="Arial" w:eastAsia="Arial" w:hAnsi="Arial"/>
                <w:b w:val="false"/>
                <w:bCs w:val="false"/>
                <w:color w:val="0E1020"/>
                <w:sz w:val="20"/>
                <w:szCs w:val="20"/>
              </w:rPr>
              <w:t xml:space="preserve">2</w:t>
            </w:r>
          </w:p>
        </w:tc>
        <w:tc>
          <w:tcPr>
            <w:tcW w:type="dxa" w:w="1500"/>
            <w:tcBorders>
              <w:top w:val="single" w:color="D0CCC7" w:sz="1"/>
              <w:left w:val="single" w:color="D0CCC7" w:sz="1"/>
              <w:bottom w:val="single" w:color="D0CCC7" w:sz="1"/>
              <w:right w:val="single" w:color="D0CCC7" w:sz="1"/>
            </w:tcBorders>
            <w:shd w:fill="F6F3F0" w:val="clear"/>
            <w:tcMar>
              <w:top w:type="dxa" w:w="80"/>
              <w:left w:type="dxa" w:w="120"/>
              <w:bottom w:type="dxa" w:w="80"/>
              <w:right w:type="dxa" w:w="120"/>
            </w:tcMar>
          </w:tcPr>
          <w:p>
            <w:r>
              <w:rPr>
                <w:rFonts w:ascii="Arial" w:cs="Arial" w:eastAsia="Arial" w:hAnsi="Arial"/>
                <w:b w:val="false"/>
                <w:bCs w:val="false"/>
                <w:color w:val="0E1020"/>
                <w:sz w:val="20"/>
                <w:szCs w:val="20"/>
              </w:rPr>
              <w:t xml:space="preserve">&lt; 75% of max</w:t>
            </w:r>
          </w:p>
        </w:tc>
        <w:tc>
          <w:tcPr>
            <w:tcW w:type="dxa" w:w="1460"/>
            <w:tcBorders>
              <w:top w:val="single" w:color="D0CCC7" w:sz="1"/>
              <w:left w:val="single" w:color="D0CCC7" w:sz="1"/>
              <w:bottom w:val="single" w:color="D0CCC7" w:sz="1"/>
              <w:right w:val="single" w:color="D0CCC7" w:sz="1"/>
            </w:tcBorders>
            <w:shd w:fill="F6F3F0" w:val="clear"/>
            <w:tcMar>
              <w:top w:type="dxa" w:w="80"/>
              <w:left w:type="dxa" w:w="120"/>
              <w:bottom w:type="dxa" w:w="80"/>
              <w:right w:type="dxa" w:w="120"/>
            </w:tcMar>
          </w:tcPr>
          <w:p>
            <w:r>
              <w:rPr>
                <w:rFonts w:ascii="Arial" w:cs="Arial" w:eastAsia="Arial" w:hAnsi="Arial"/>
                <w:b w:val="false"/>
                <w:bCs w:val="false"/>
                <w:color w:val="0E1020"/>
                <w:sz w:val="20"/>
                <w:szCs w:val="20"/>
              </w:rPr>
              <w:t xml:space="preserve">Active</w:t>
            </w:r>
          </w:p>
        </w:tc>
        <w:tc>
          <w:tcPr>
            <w:tcW w:type="dxa" w:w="1500"/>
            <w:tcBorders>
              <w:top w:val="single" w:color="D0CCC7" w:sz="1"/>
              <w:left w:val="single" w:color="D0CCC7" w:sz="1"/>
              <w:bottom w:val="single" w:color="D0CCC7" w:sz="1"/>
              <w:right w:val="single" w:color="D0CCC7" w:sz="1"/>
            </w:tcBorders>
            <w:shd w:fill="F6F3F0" w:val="clear"/>
            <w:tcMar>
              <w:top w:type="dxa" w:w="80"/>
              <w:left w:type="dxa" w:w="120"/>
              <w:bottom w:type="dxa" w:w="80"/>
              <w:right w:type="dxa" w:w="120"/>
            </w:tcMar>
          </w:tcPr>
          <w:p>
            <w:r>
              <w:rPr>
                <w:rFonts w:ascii="Arial" w:cs="Arial" w:eastAsia="Arial" w:hAnsi="Arial"/>
                <w:b w:val="false"/>
                <w:bCs w:val="false"/>
                <w:color w:val="0E1020"/>
                <w:sz w:val="20"/>
                <w:szCs w:val="20"/>
              </w:rPr>
              <w:t xml:space="preserve">&gt; 90%</w:t>
            </w:r>
          </w:p>
        </w:tc>
        <w:tc>
          <w:tcPr>
            <w:tcW w:type="dxa" w:w="1500"/>
            <w:tcBorders>
              <w:top w:val="single" w:color="D0CCC7" w:sz="1"/>
              <w:left w:val="single" w:color="D0CCC7" w:sz="1"/>
              <w:bottom w:val="single" w:color="D0CCC7" w:sz="1"/>
              <w:right w:val="single" w:color="D0CCC7" w:sz="1"/>
            </w:tcBorders>
            <w:shd w:fill="F6F3F0" w:val="clear"/>
            <w:tcMar>
              <w:top w:type="dxa" w:w="80"/>
              <w:left w:type="dxa" w:w="120"/>
              <w:bottom w:type="dxa" w:w="80"/>
              <w:right w:type="dxa" w:w="120"/>
            </w:tcMar>
          </w:tcPr>
          <w:p>
            <w:r>
              <w:rPr>
                <w:rFonts w:ascii="Arial" w:cs="Arial" w:eastAsia="Arial" w:hAnsi="Arial"/>
                <w:b w:val="false"/>
                <w:bCs w:val="false"/>
                <w:color w:val="0E1020"/>
                <w:sz w:val="20"/>
                <w:szCs w:val="20"/>
              </w:rPr>
              <w:t xml:space="preserve">Any</w:t>
            </w:r>
          </w:p>
        </w:tc>
        <w:tc>
          <w:tcPr>
            <w:tcW w:type="dxa" w:w="2000"/>
            <w:tcBorders>
              <w:top w:val="single" w:color="D0CCC7" w:sz="1"/>
              <w:left w:val="single" w:color="D0CCC7" w:sz="1"/>
              <w:bottom w:val="single" w:color="D0CCC7" w:sz="1"/>
              <w:right w:val="single" w:color="D0CCC7" w:sz="1"/>
            </w:tcBorders>
            <w:shd w:fill="F6F3F0" w:val="clear"/>
            <w:tcMar>
              <w:top w:type="dxa" w:w="80"/>
              <w:left w:type="dxa" w:w="120"/>
              <w:bottom w:type="dxa" w:w="80"/>
              <w:right w:type="dxa" w:w="120"/>
            </w:tcMar>
          </w:tcPr>
          <w:p>
            <w:r>
              <w:rPr>
                <w:rFonts w:ascii="Arial" w:cs="Arial" w:eastAsia="Arial" w:hAnsi="Arial"/>
                <w:b/>
                <w:bCs/>
                <w:color w:val="004AAC"/>
                <w:sz w:val="20"/>
                <w:szCs w:val="20"/>
              </w:rPr>
              <w:t xml:space="preserve">Low Touch</w:t>
            </w:r>
          </w:p>
        </w:tc>
      </w:tr>
      <w:tr>
        <w:tc>
          <w:tcPr>
            <w:tcW w:type="dxa" w:w="140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val="false"/>
                <w:bCs w:val="false"/>
                <w:color w:val="0E1020"/>
                <w:sz w:val="20"/>
                <w:szCs w:val="20"/>
              </w:rPr>
              <w:t xml:space="preserve">3</w:t>
            </w:r>
          </w:p>
        </w:tc>
        <w:tc>
          <w:tcPr>
            <w:tcW w:type="dxa" w:w="150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val="false"/>
                <w:bCs w:val="false"/>
                <w:color w:val="0E1020"/>
                <w:sz w:val="20"/>
                <w:szCs w:val="20"/>
              </w:rPr>
              <w:t xml:space="preserve">&lt; 90% of max</w:t>
            </w:r>
          </w:p>
        </w:tc>
        <w:tc>
          <w:tcPr>
            <w:tcW w:type="dxa" w:w="146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val="false"/>
                <w:bCs w:val="false"/>
                <w:color w:val="0E1020"/>
                <w:sz w:val="20"/>
                <w:szCs w:val="20"/>
              </w:rPr>
              <w:t xml:space="preserve">Active</w:t>
            </w:r>
          </w:p>
        </w:tc>
        <w:tc>
          <w:tcPr>
            <w:tcW w:type="dxa" w:w="150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val="false"/>
                <w:bCs w:val="false"/>
                <w:color w:val="0E1020"/>
                <w:sz w:val="20"/>
                <w:szCs w:val="20"/>
              </w:rPr>
              <w:t xml:space="preserve">&gt; 70%</w:t>
            </w:r>
          </w:p>
        </w:tc>
        <w:tc>
          <w:tcPr>
            <w:tcW w:type="dxa" w:w="150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val="false"/>
                <w:bCs w:val="false"/>
                <w:color w:val="0E1020"/>
                <w:sz w:val="20"/>
                <w:szCs w:val="20"/>
              </w:rPr>
              <w:t xml:space="preserve">Any</w:t>
            </w:r>
          </w:p>
        </w:tc>
        <w:tc>
          <w:tcPr>
            <w:tcW w:type="dxa" w:w="200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bCs/>
                <w:color w:val="B8860B"/>
                <w:sz w:val="20"/>
                <w:szCs w:val="20"/>
              </w:rPr>
              <w:t xml:space="preserve">Moderate Touch</w:t>
            </w:r>
          </w:p>
        </w:tc>
      </w:tr>
      <w:tr>
        <w:tc>
          <w:tcPr>
            <w:tcW w:type="dxa" w:w="1400"/>
            <w:tcBorders>
              <w:top w:val="single" w:color="D0CCC7" w:sz="1"/>
              <w:left w:val="single" w:color="D0CCC7" w:sz="1"/>
              <w:bottom w:val="single" w:color="D0CCC7" w:sz="1"/>
              <w:right w:val="single" w:color="D0CCC7" w:sz="1"/>
            </w:tcBorders>
            <w:shd w:fill="F6F3F0" w:val="clear"/>
            <w:tcMar>
              <w:top w:type="dxa" w:w="80"/>
              <w:left w:type="dxa" w:w="120"/>
              <w:bottom w:type="dxa" w:w="80"/>
              <w:right w:type="dxa" w:w="120"/>
            </w:tcMar>
          </w:tcPr>
          <w:p>
            <w:r>
              <w:rPr>
                <w:rFonts w:ascii="Arial" w:cs="Arial" w:eastAsia="Arial" w:hAnsi="Arial"/>
                <w:b w:val="false"/>
                <w:bCs w:val="false"/>
                <w:color w:val="0E1020"/>
                <w:sz w:val="20"/>
                <w:szCs w:val="20"/>
              </w:rPr>
              <w:t xml:space="preserve">4</w:t>
            </w:r>
          </w:p>
        </w:tc>
        <w:tc>
          <w:tcPr>
            <w:tcW w:type="dxa" w:w="1500"/>
            <w:tcBorders>
              <w:top w:val="single" w:color="D0CCC7" w:sz="1"/>
              <w:left w:val="single" w:color="D0CCC7" w:sz="1"/>
              <w:bottom w:val="single" w:color="D0CCC7" w:sz="1"/>
              <w:right w:val="single" w:color="D0CCC7" w:sz="1"/>
            </w:tcBorders>
            <w:shd w:fill="F6F3F0" w:val="clear"/>
            <w:tcMar>
              <w:top w:type="dxa" w:w="80"/>
              <w:left w:type="dxa" w:w="120"/>
              <w:bottom w:type="dxa" w:w="80"/>
              <w:right w:type="dxa" w:w="120"/>
            </w:tcMar>
          </w:tcPr>
          <w:p>
            <w:r>
              <w:rPr>
                <w:rFonts w:ascii="Arial" w:cs="Arial" w:eastAsia="Arial" w:hAnsi="Arial"/>
                <w:b w:val="false"/>
                <w:bCs w:val="false"/>
                <w:color w:val="0E1020"/>
                <w:sz w:val="20"/>
                <w:szCs w:val="20"/>
              </w:rPr>
              <w:t xml:space="preserve">&gt; 90% of max</w:t>
            </w:r>
          </w:p>
        </w:tc>
        <w:tc>
          <w:tcPr>
            <w:tcW w:type="dxa" w:w="1460"/>
            <w:tcBorders>
              <w:top w:val="single" w:color="D0CCC7" w:sz="1"/>
              <w:left w:val="single" w:color="D0CCC7" w:sz="1"/>
              <w:bottom w:val="single" w:color="D0CCC7" w:sz="1"/>
              <w:right w:val="single" w:color="D0CCC7" w:sz="1"/>
            </w:tcBorders>
            <w:shd w:fill="F6F3F0" w:val="clear"/>
            <w:tcMar>
              <w:top w:type="dxa" w:w="80"/>
              <w:left w:type="dxa" w:w="120"/>
              <w:bottom w:type="dxa" w:w="80"/>
              <w:right w:type="dxa" w:w="120"/>
            </w:tcMar>
          </w:tcPr>
          <w:p>
            <w:r>
              <w:rPr>
                <w:rFonts w:ascii="Arial" w:cs="Arial" w:eastAsia="Arial" w:hAnsi="Arial"/>
                <w:b w:val="false"/>
                <w:bCs w:val="false"/>
                <w:color w:val="0E1020"/>
                <w:sz w:val="20"/>
                <w:szCs w:val="20"/>
              </w:rPr>
              <w:t xml:space="preserve">Any</w:t>
            </w:r>
          </w:p>
        </w:tc>
        <w:tc>
          <w:tcPr>
            <w:tcW w:type="dxa" w:w="1500"/>
            <w:tcBorders>
              <w:top w:val="single" w:color="D0CCC7" w:sz="1"/>
              <w:left w:val="single" w:color="D0CCC7" w:sz="1"/>
              <w:bottom w:val="single" w:color="D0CCC7" w:sz="1"/>
              <w:right w:val="single" w:color="D0CCC7" w:sz="1"/>
            </w:tcBorders>
            <w:shd w:fill="F6F3F0" w:val="clear"/>
            <w:tcMar>
              <w:top w:type="dxa" w:w="80"/>
              <w:left w:type="dxa" w:w="120"/>
              <w:bottom w:type="dxa" w:w="80"/>
              <w:right w:type="dxa" w:w="120"/>
            </w:tcMar>
          </w:tcPr>
          <w:p>
            <w:r>
              <w:rPr>
                <w:rFonts w:ascii="Arial" w:cs="Arial" w:eastAsia="Arial" w:hAnsi="Arial"/>
                <w:b w:val="false"/>
                <w:bCs w:val="false"/>
                <w:color w:val="0E1020"/>
                <w:sz w:val="20"/>
                <w:szCs w:val="20"/>
              </w:rPr>
              <w:t xml:space="preserve">Any</w:t>
            </w:r>
          </w:p>
        </w:tc>
        <w:tc>
          <w:tcPr>
            <w:tcW w:type="dxa" w:w="1500"/>
            <w:tcBorders>
              <w:top w:val="single" w:color="D0CCC7" w:sz="1"/>
              <w:left w:val="single" w:color="D0CCC7" w:sz="1"/>
              <w:bottom w:val="single" w:color="D0CCC7" w:sz="1"/>
              <w:right w:val="single" w:color="D0CCC7" w:sz="1"/>
            </w:tcBorders>
            <w:shd w:fill="F6F3F0" w:val="clear"/>
            <w:tcMar>
              <w:top w:type="dxa" w:w="80"/>
              <w:left w:type="dxa" w:w="120"/>
              <w:bottom w:type="dxa" w:w="80"/>
              <w:right w:type="dxa" w:w="120"/>
            </w:tcMar>
          </w:tcPr>
          <w:p>
            <w:r>
              <w:rPr>
                <w:rFonts w:ascii="Arial" w:cs="Arial" w:eastAsia="Arial" w:hAnsi="Arial"/>
                <w:b w:val="false"/>
                <w:bCs w:val="false"/>
                <w:color w:val="0E1020"/>
                <w:sz w:val="20"/>
                <w:szCs w:val="20"/>
              </w:rPr>
              <w:t xml:space="preserve">Any</w:t>
            </w:r>
          </w:p>
        </w:tc>
        <w:tc>
          <w:tcPr>
            <w:tcW w:type="dxa" w:w="2000"/>
            <w:tcBorders>
              <w:top w:val="single" w:color="D0CCC7" w:sz="1"/>
              <w:left w:val="single" w:color="D0CCC7" w:sz="1"/>
              <w:bottom w:val="single" w:color="D0CCC7" w:sz="1"/>
              <w:right w:val="single" w:color="D0CCC7" w:sz="1"/>
            </w:tcBorders>
            <w:shd w:fill="F6F3F0" w:val="clear"/>
            <w:tcMar>
              <w:top w:type="dxa" w:w="80"/>
              <w:left w:type="dxa" w:w="120"/>
              <w:bottom w:type="dxa" w:w="80"/>
              <w:right w:type="dxa" w:w="120"/>
            </w:tcMar>
          </w:tcPr>
          <w:p>
            <w:r>
              <w:rPr>
                <w:rFonts w:ascii="Arial" w:cs="Arial" w:eastAsia="Arial" w:hAnsi="Arial"/>
                <w:b/>
                <w:bCs/>
                <w:color w:val="D14600"/>
                <w:sz w:val="20"/>
                <w:szCs w:val="20"/>
              </w:rPr>
              <w:t xml:space="preserve">High Touch</w:t>
            </w:r>
          </w:p>
        </w:tc>
      </w:tr>
      <w:tr>
        <w:tc>
          <w:tcPr>
            <w:tcW w:type="dxa" w:w="140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val="false"/>
                <w:bCs w:val="false"/>
                <w:color w:val="0E1020"/>
                <w:sz w:val="20"/>
                <w:szCs w:val="20"/>
              </w:rPr>
              <w:t xml:space="preserve">5</w:t>
            </w:r>
          </w:p>
        </w:tc>
        <w:tc>
          <w:tcPr>
            <w:tcW w:type="dxa" w:w="150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val="false"/>
                <w:bCs w:val="false"/>
                <w:color w:val="0E1020"/>
                <w:sz w:val="20"/>
                <w:szCs w:val="20"/>
              </w:rPr>
              <w:t xml:space="preserve">Any</w:t>
            </w:r>
          </w:p>
        </w:tc>
        <w:tc>
          <w:tcPr>
            <w:tcW w:type="dxa" w:w="146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val="false"/>
                <w:bCs w:val="false"/>
                <w:color w:val="0E1020"/>
                <w:sz w:val="20"/>
                <w:szCs w:val="20"/>
              </w:rPr>
              <w:t xml:space="preserve">Not Active</w:t>
            </w:r>
          </w:p>
        </w:tc>
        <w:tc>
          <w:tcPr>
            <w:tcW w:type="dxa" w:w="150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val="false"/>
                <w:bCs w:val="false"/>
                <w:color w:val="0E1020"/>
                <w:sz w:val="20"/>
                <w:szCs w:val="20"/>
              </w:rPr>
              <w:t xml:space="preserve">Any</w:t>
            </w:r>
          </w:p>
        </w:tc>
        <w:tc>
          <w:tcPr>
            <w:tcW w:type="dxa" w:w="150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val="false"/>
                <w:bCs w:val="false"/>
                <w:color w:val="0E1020"/>
                <w:sz w:val="20"/>
                <w:szCs w:val="20"/>
              </w:rPr>
              <w:t xml:space="preserve">Any</w:t>
            </w:r>
          </w:p>
        </w:tc>
        <w:tc>
          <w:tcPr>
            <w:tcW w:type="dxa" w:w="200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bCs/>
                <w:color w:val="D14600"/>
                <w:sz w:val="20"/>
                <w:szCs w:val="20"/>
              </w:rPr>
              <w:t xml:space="preserve">High Touch</w:t>
            </w:r>
          </w:p>
        </w:tc>
      </w:tr>
      <w:tr>
        <w:tc>
          <w:tcPr>
            <w:tcW w:type="dxa" w:w="1400"/>
            <w:tcBorders>
              <w:top w:val="single" w:color="D0CCC7" w:sz="1"/>
              <w:left w:val="single" w:color="D0CCC7" w:sz="1"/>
              <w:bottom w:val="single" w:color="D0CCC7" w:sz="1"/>
              <w:right w:val="single" w:color="D0CCC7" w:sz="1"/>
            </w:tcBorders>
            <w:shd w:fill="F6F3F0" w:val="clear"/>
            <w:tcMar>
              <w:top w:type="dxa" w:w="80"/>
              <w:left w:type="dxa" w:w="120"/>
              <w:bottom w:type="dxa" w:w="80"/>
              <w:right w:type="dxa" w:w="120"/>
            </w:tcMar>
          </w:tcPr>
          <w:p>
            <w:r>
              <w:rPr>
                <w:rFonts w:ascii="Arial" w:cs="Arial" w:eastAsia="Arial" w:hAnsi="Arial"/>
                <w:b w:val="false"/>
                <w:bCs w:val="false"/>
                <w:color w:val="0E1020"/>
                <w:sz w:val="20"/>
                <w:szCs w:val="20"/>
              </w:rPr>
              <w:t xml:space="preserve">Default</w:t>
            </w:r>
          </w:p>
        </w:tc>
        <w:tc>
          <w:tcPr>
            <w:tcW w:type="dxa" w:w="1500"/>
            <w:tcBorders>
              <w:top w:val="single" w:color="D0CCC7" w:sz="1"/>
              <w:left w:val="single" w:color="D0CCC7" w:sz="1"/>
              <w:bottom w:val="single" w:color="D0CCC7" w:sz="1"/>
              <w:right w:val="single" w:color="D0CCC7" w:sz="1"/>
            </w:tcBorders>
            <w:shd w:fill="F6F3F0" w:val="clear"/>
            <w:tcMar>
              <w:top w:type="dxa" w:w="80"/>
              <w:left w:type="dxa" w:w="120"/>
              <w:bottom w:type="dxa" w:w="80"/>
              <w:right w:type="dxa" w:w="120"/>
            </w:tcMar>
          </w:tcPr>
          <w:p>
            <w:r>
              <w:rPr>
                <w:rFonts w:ascii="Arial" w:cs="Arial" w:eastAsia="Arial" w:hAnsi="Arial"/>
                <w:b w:val="false"/>
                <w:bCs w:val="false"/>
                <w:color w:val="0E1020"/>
                <w:sz w:val="20"/>
                <w:szCs w:val="20"/>
              </w:rPr>
              <w:t xml:space="preserve">Any</w:t>
            </w:r>
          </w:p>
        </w:tc>
        <w:tc>
          <w:tcPr>
            <w:tcW w:type="dxa" w:w="1460"/>
            <w:tcBorders>
              <w:top w:val="single" w:color="D0CCC7" w:sz="1"/>
              <w:left w:val="single" w:color="D0CCC7" w:sz="1"/>
              <w:bottom w:val="single" w:color="D0CCC7" w:sz="1"/>
              <w:right w:val="single" w:color="D0CCC7" w:sz="1"/>
            </w:tcBorders>
            <w:shd w:fill="F6F3F0" w:val="clear"/>
            <w:tcMar>
              <w:top w:type="dxa" w:w="80"/>
              <w:left w:type="dxa" w:w="120"/>
              <w:bottom w:type="dxa" w:w="80"/>
              <w:right w:type="dxa" w:w="120"/>
            </w:tcMar>
          </w:tcPr>
          <w:p>
            <w:r>
              <w:rPr>
                <w:rFonts w:ascii="Arial" w:cs="Arial" w:eastAsia="Arial" w:hAnsi="Arial"/>
                <w:b w:val="false"/>
                <w:bCs w:val="false"/>
                <w:color w:val="0E1020"/>
                <w:sz w:val="20"/>
                <w:szCs w:val="20"/>
              </w:rPr>
              <w:t xml:space="preserve">Any</w:t>
            </w:r>
          </w:p>
        </w:tc>
        <w:tc>
          <w:tcPr>
            <w:tcW w:type="dxa" w:w="1500"/>
            <w:tcBorders>
              <w:top w:val="single" w:color="D0CCC7" w:sz="1"/>
              <w:left w:val="single" w:color="D0CCC7" w:sz="1"/>
              <w:bottom w:val="single" w:color="D0CCC7" w:sz="1"/>
              <w:right w:val="single" w:color="D0CCC7" w:sz="1"/>
            </w:tcBorders>
            <w:shd w:fill="F6F3F0" w:val="clear"/>
            <w:tcMar>
              <w:top w:type="dxa" w:w="80"/>
              <w:left w:type="dxa" w:w="120"/>
              <w:bottom w:type="dxa" w:w="80"/>
              <w:right w:type="dxa" w:w="120"/>
            </w:tcMar>
          </w:tcPr>
          <w:p>
            <w:r>
              <w:rPr>
                <w:rFonts w:ascii="Arial" w:cs="Arial" w:eastAsia="Arial" w:hAnsi="Arial"/>
                <w:b w:val="false"/>
                <w:bCs w:val="false"/>
                <w:color w:val="0E1020"/>
                <w:sz w:val="20"/>
                <w:szCs w:val="20"/>
              </w:rPr>
              <w:t xml:space="preserve">Any</w:t>
            </w:r>
          </w:p>
        </w:tc>
        <w:tc>
          <w:tcPr>
            <w:tcW w:type="dxa" w:w="1500"/>
            <w:tcBorders>
              <w:top w:val="single" w:color="D0CCC7" w:sz="1"/>
              <w:left w:val="single" w:color="D0CCC7" w:sz="1"/>
              <w:bottom w:val="single" w:color="D0CCC7" w:sz="1"/>
              <w:right w:val="single" w:color="D0CCC7" w:sz="1"/>
            </w:tcBorders>
            <w:shd w:fill="F6F3F0" w:val="clear"/>
            <w:tcMar>
              <w:top w:type="dxa" w:w="80"/>
              <w:left w:type="dxa" w:w="120"/>
              <w:bottom w:type="dxa" w:w="80"/>
              <w:right w:type="dxa" w:w="120"/>
            </w:tcMar>
          </w:tcPr>
          <w:p>
            <w:r>
              <w:rPr>
                <w:rFonts w:ascii="Arial" w:cs="Arial" w:eastAsia="Arial" w:hAnsi="Arial"/>
                <w:b w:val="false"/>
                <w:bCs w:val="false"/>
                <w:color w:val="0E1020"/>
                <w:sz w:val="20"/>
                <w:szCs w:val="20"/>
              </w:rPr>
              <w:t xml:space="preserve">Any</w:t>
            </w:r>
          </w:p>
        </w:tc>
        <w:tc>
          <w:tcPr>
            <w:tcW w:type="dxa" w:w="2000"/>
            <w:tcBorders>
              <w:top w:val="single" w:color="D0CCC7" w:sz="1"/>
              <w:left w:val="single" w:color="D0CCC7" w:sz="1"/>
              <w:bottom w:val="single" w:color="D0CCC7" w:sz="1"/>
              <w:right w:val="single" w:color="D0CCC7" w:sz="1"/>
            </w:tcBorders>
            <w:shd w:fill="F6F3F0" w:val="clear"/>
            <w:tcMar>
              <w:top w:type="dxa" w:w="80"/>
              <w:left w:type="dxa" w:w="120"/>
              <w:bottom w:type="dxa" w:w="80"/>
              <w:right w:type="dxa" w:w="120"/>
            </w:tcMar>
          </w:tcPr>
          <w:p>
            <w:r>
              <w:rPr>
                <w:rFonts w:ascii="Arial" w:cs="Arial" w:eastAsia="Arial" w:hAnsi="Arial"/>
                <w:b/>
                <w:bCs/>
                <w:color w:val="B8860B"/>
                <w:sz w:val="20"/>
                <w:szCs w:val="20"/>
              </w:rPr>
              <w:t xml:space="preserve">Moderate Touch</w:t>
            </w:r>
          </w:p>
        </w:tc>
      </w:tr>
    </w:tbl>
    <w:p>
      <w:pPr>
        <w:spacing w:after="120"/>
      </w:pPr>
    </w:p>
    <w:p>
      <w:r>
        <w:br w:type="page"/>
      </w:r>
    </w:p>
    <w:p>
      <w:pPr>
        <w:pStyle w:val="Heading2"/>
        <w:spacing w:before="280" w:after="160"/>
      </w:pPr>
      <w:r>
        <w:rPr>
          <w:rFonts w:ascii="Arial" w:cs="Arial" w:eastAsia="Arial" w:hAnsi="Arial"/>
          <w:b/>
          <w:bCs/>
          <w:color w:val="004AAC"/>
          <w:sz w:val="26"/>
          <w:szCs w:val="26"/>
        </w:rPr>
        <w:t xml:space="preserve">4.4 Layer 4: Touch-Level Processing Workspaces</w:t>
      </w:r>
    </w:p>
    <w:p>
      <w:pPr>
        <w:spacing w:after="160"/>
      </w:pPr>
      <w:r>
        <w:rPr>
          <w:rFonts w:ascii="Arial" w:cs="Arial" w:eastAsia="Arial" w:hAnsi="Arial"/>
          <w:color w:val="0E1020"/>
          <w:sz w:val="20"/>
          <w:szCs w:val="20"/>
        </w:rPr>
        <w:t xml:space="preserve">Each touch level has a standardized workspace layout. The workspace components are reusable across all transaction types; only the entity data and form fields change based on the Transaction Type Registry configuration.</w:t>
      </w:r>
    </w:p>
    <w:p>
      <w:pPr>
        <w:pStyle w:val="Heading3"/>
        <w:spacing w:before="200" w:after="120"/>
      </w:pPr>
      <w:r>
        <w:rPr>
          <w:rFonts w:ascii="Arial" w:cs="Arial" w:eastAsia="Arial" w:hAnsi="Arial"/>
          <w:b/>
          <w:bCs/>
          <w:color w:val="0E1020"/>
          <w:sz w:val="22"/>
          <w:szCs w:val="22"/>
        </w:rPr>
        <w:t xml:space="preserve">Component 4A: Low-Touch Workspace (Click &amp; Approve)</w:t>
      </w:r>
    </w:p>
    <w:p>
      <w:pPr>
        <w:spacing w:after="160"/>
      </w:pPr>
      <w:r>
        <w:rPr>
          <w:rFonts w:ascii="Arial" w:cs="Arial" w:eastAsia="Arial" w:hAnsi="Arial"/>
          <w:color w:val="0E1020"/>
          <w:sz w:val="20"/>
          <w:szCs w:val="20"/>
        </w:rPr>
        <w:t xml:space="preserve">Designed for high-confidence, low-risk transactions that have passed all automated validations. The processor sees a pre-populated summary and can approve with a single click.</w:t>
      </w:r>
    </w:p>
    <w:p>
      <w:pPr>
        <w:pStyle w:val="ListParagraph"/>
        <w:numPr>
          <w:ilvl w:val="0"/>
          <w:numId w:val="2"/>
        </w:numPr>
        <w:spacing w:after="80"/>
      </w:pPr>
      <w:r>
        <w:rPr>
          <w:rFonts w:ascii="Arial" w:cs="Arial" w:eastAsia="Arial" w:hAnsi="Arial"/>
          <w:b/>
          <w:bCs/>
          <w:color w:val="0E1020"/>
          <w:sz w:val="20"/>
          <w:szCs w:val="20"/>
        </w:rPr>
        <w:t xml:space="preserve">Layout: </w:t>
      </w:r>
      <w:r>
        <w:rPr>
          <w:rFonts w:ascii="Arial" w:cs="Arial" w:eastAsia="Arial" w:hAnsi="Arial"/>
          <w:color w:val="0E1020"/>
          <w:sz w:val="20"/>
          <w:szCs w:val="20"/>
        </w:rPr>
        <w:t xml:space="preserve">Full-width summary card showing all IDP-extracted values (pre-validated), policy snapshot, and calculated financial figures (e.g., net loan amount after interest, surrender value after charges)</w:t>
      </w:r>
    </w:p>
    <w:p>
      <w:pPr>
        <w:pStyle w:val="ListParagraph"/>
        <w:numPr>
          <w:ilvl w:val="0"/>
          <w:numId w:val="2"/>
        </w:numPr>
        <w:spacing w:after="80"/>
      </w:pPr>
      <w:r>
        <w:rPr>
          <w:rFonts w:ascii="Arial" w:cs="Arial" w:eastAsia="Arial" w:hAnsi="Arial"/>
          <w:b/>
          <w:bCs/>
          <w:color w:val="0E1020"/>
          <w:sz w:val="20"/>
          <w:szCs w:val="20"/>
        </w:rPr>
        <w:t xml:space="preserve">Actions: </w:t>
      </w:r>
      <w:r>
        <w:rPr>
          <w:rFonts w:ascii="Arial" w:cs="Arial" w:eastAsia="Arial" w:hAnsi="Arial"/>
          <w:color w:val="0E1020"/>
          <w:sz w:val="20"/>
          <w:szCs w:val="20"/>
        </w:rPr>
        <w:t xml:space="preserve">Approve (submits to admin system), Reject (sends to high-touch for investigation), Override (requires reason, escalates to moderate)</w:t>
      </w:r>
    </w:p>
    <w:p>
      <w:pPr>
        <w:pStyle w:val="ListParagraph"/>
        <w:numPr>
          <w:ilvl w:val="0"/>
          <w:numId w:val="2"/>
        </w:numPr>
        <w:spacing w:after="80"/>
      </w:pPr>
      <w:r>
        <w:rPr>
          <w:rFonts w:ascii="Arial" w:cs="Arial" w:eastAsia="Arial" w:hAnsi="Arial"/>
          <w:b/>
          <w:bCs/>
          <w:color w:val="0E1020"/>
          <w:sz w:val="20"/>
          <w:szCs w:val="20"/>
        </w:rPr>
        <w:t xml:space="preserve">Automation: </w:t>
      </w:r>
      <w:r>
        <w:rPr>
          <w:rFonts w:ascii="Arial" w:cs="Arial" w:eastAsia="Arial" w:hAnsi="Arial"/>
          <w:color w:val="0E1020"/>
          <w:sz w:val="20"/>
          <w:szCs w:val="20"/>
        </w:rPr>
        <w:t xml:space="preserve">When the triage result is STP, this workspace auto-approves without human intervention and logs the action in workflow history</w:t>
      </w:r>
    </w:p>
    <w:p>
      <w:pPr>
        <w:pStyle w:val="Heading3"/>
        <w:spacing w:before="200" w:after="120"/>
      </w:pPr>
      <w:r>
        <w:rPr>
          <w:rFonts w:ascii="Arial" w:cs="Arial" w:eastAsia="Arial" w:hAnsi="Arial"/>
          <w:b/>
          <w:bCs/>
          <w:color w:val="0E1020"/>
          <w:sz w:val="22"/>
          <w:szCs w:val="22"/>
        </w:rPr>
        <w:t xml:space="preserve">Component 4B: Moderate-Touch Workspace (Secondary Validation)</w:t>
      </w:r>
    </w:p>
    <w:p>
      <w:pPr>
        <w:spacing w:after="160"/>
      </w:pPr>
      <w:r>
        <w:rPr>
          <w:rFonts w:ascii="Arial" w:cs="Arial" w:eastAsia="Arial" w:hAnsi="Arial"/>
          <w:color w:val="0E1020"/>
          <w:sz w:val="20"/>
          <w:szCs w:val="20"/>
        </w:rPr>
        <w:t xml:space="preserve">For transactions requiring a second look but not full manual intervention. The processor reviews flagged items and confirms specific validations.</w:t>
      </w:r>
    </w:p>
    <w:p>
      <w:pPr>
        <w:pStyle w:val="ListParagraph"/>
        <w:numPr>
          <w:ilvl w:val="0"/>
          <w:numId w:val="2"/>
        </w:numPr>
        <w:spacing w:after="80"/>
      </w:pPr>
      <w:r>
        <w:rPr>
          <w:rFonts w:ascii="Arial" w:cs="Arial" w:eastAsia="Arial" w:hAnsi="Arial"/>
          <w:b/>
          <w:bCs/>
          <w:color w:val="0E1020"/>
          <w:sz w:val="20"/>
          <w:szCs w:val="20"/>
        </w:rPr>
        <w:t xml:space="preserve">Layout: </w:t>
      </w:r>
      <w:r>
        <w:rPr>
          <w:rFonts w:ascii="Arial" w:cs="Arial" w:eastAsia="Arial" w:hAnsi="Arial"/>
          <w:color w:val="0E1020"/>
          <w:sz w:val="20"/>
          <w:szCs w:val="20"/>
        </w:rPr>
        <w:t xml:space="preserve">Three-panel view: (1) Triage Summary Card at top, (2) Flagged Items panel highlighting specific fields or conditions that triggered moderate routing, (3) Validation Checklist with required confirmations</w:t>
      </w:r>
    </w:p>
    <w:p>
      <w:pPr>
        <w:pStyle w:val="ListParagraph"/>
        <w:numPr>
          <w:ilvl w:val="0"/>
          <w:numId w:val="2"/>
        </w:numPr>
        <w:spacing w:after="80"/>
      </w:pPr>
      <w:r>
        <w:rPr>
          <w:rFonts w:ascii="Arial" w:cs="Arial" w:eastAsia="Arial" w:hAnsi="Arial"/>
          <w:b/>
          <w:bCs/>
          <w:color w:val="0E1020"/>
          <w:sz w:val="20"/>
          <w:szCs w:val="20"/>
        </w:rPr>
        <w:t xml:space="preserve">Flagged Items Examples: </w:t>
      </w:r>
      <w:r>
        <w:rPr>
          <w:rFonts w:ascii="Arial" w:cs="Arial" w:eastAsia="Arial" w:hAnsi="Arial"/>
          <w:color w:val="0E1020"/>
          <w:sz w:val="20"/>
          <w:szCs w:val="20"/>
        </w:rPr>
        <w:t xml:space="preserve">Signature match needs visual confirmation, requested amount exceeds free withdrawal threshold, tax withholding election differs from prior transactions, address change detected</w:t>
      </w:r>
    </w:p>
    <w:p>
      <w:pPr>
        <w:pStyle w:val="ListParagraph"/>
        <w:numPr>
          <w:ilvl w:val="0"/>
          <w:numId w:val="2"/>
        </w:numPr>
        <w:spacing w:after="80"/>
      </w:pPr>
      <w:r>
        <w:rPr>
          <w:rFonts w:ascii="Arial" w:cs="Arial" w:eastAsia="Arial" w:hAnsi="Arial"/>
          <w:b/>
          <w:bCs/>
          <w:color w:val="0E1020"/>
          <w:sz w:val="20"/>
          <w:szCs w:val="20"/>
        </w:rPr>
        <w:t xml:space="preserve">Actions: </w:t>
      </w:r>
      <w:r>
        <w:rPr>
          <w:rFonts w:ascii="Arial" w:cs="Arial" w:eastAsia="Arial" w:hAnsi="Arial"/>
          <w:color w:val="0E1020"/>
          <w:sz w:val="20"/>
          <w:szCs w:val="20"/>
        </w:rPr>
        <w:t xml:space="preserve">Confirm All Flagged Items (moves to approval), Escalate to High Touch (with reason), Request Additional Information from customer (generates NIGO correspondence)</w:t>
      </w:r>
    </w:p>
    <w:p>
      <w:pPr>
        <w:pStyle w:val="Heading3"/>
        <w:spacing w:before="200" w:after="120"/>
      </w:pPr>
      <w:r>
        <w:rPr>
          <w:rFonts w:ascii="Arial" w:cs="Arial" w:eastAsia="Arial" w:hAnsi="Arial"/>
          <w:b/>
          <w:bCs/>
          <w:color w:val="0E1020"/>
          <w:sz w:val="22"/>
          <w:szCs w:val="22"/>
        </w:rPr>
        <w:t xml:space="preserve">Component 4C: High-Touch Workspace (Manual Intervention)</w:t>
      </w:r>
    </w:p>
    <w:p>
      <w:pPr>
        <w:spacing w:after="160"/>
      </w:pPr>
      <w:r>
        <w:rPr>
          <w:rFonts w:ascii="Arial" w:cs="Arial" w:eastAsia="Arial" w:hAnsi="Arial"/>
          <w:color w:val="0E1020"/>
          <w:sz w:val="20"/>
          <w:szCs w:val="20"/>
        </w:rPr>
        <w:t xml:space="preserve">Full manual review workspace for complex, high-risk, or exception transactions. Provides complete access to all entity data and document images.</w:t>
      </w:r>
    </w:p>
    <w:p>
      <w:pPr>
        <w:pStyle w:val="ListParagraph"/>
        <w:numPr>
          <w:ilvl w:val="0"/>
          <w:numId w:val="2"/>
        </w:numPr>
        <w:spacing w:after="80"/>
      </w:pPr>
      <w:r>
        <w:rPr>
          <w:rFonts w:ascii="Arial" w:cs="Arial" w:eastAsia="Arial" w:hAnsi="Arial"/>
          <w:b/>
          <w:bCs/>
          <w:color w:val="0E1020"/>
          <w:sz w:val="20"/>
          <w:szCs w:val="20"/>
        </w:rPr>
        <w:t xml:space="preserve">Layout: </w:t>
      </w:r>
      <w:r>
        <w:rPr>
          <w:rFonts w:ascii="Arial" w:cs="Arial" w:eastAsia="Arial" w:hAnsi="Arial"/>
          <w:color w:val="0E1020"/>
          <w:sz w:val="20"/>
          <w:szCs w:val="20"/>
        </w:rPr>
        <w:t xml:space="preserve">Four-panel workspace: (1) Document Viewer with original submitted form, (2) Entity Comparison Panel showing IDP-extracted values side-by-side with policy values, (3) Financial Calculator for loan interest, surrender charges, RMD amounts, tax withholding, (4) Action Panel with full processing controls</w:t>
      </w:r>
    </w:p>
    <w:p>
      <w:pPr>
        <w:pStyle w:val="ListParagraph"/>
        <w:numPr>
          <w:ilvl w:val="0"/>
          <w:numId w:val="2"/>
        </w:numPr>
        <w:spacing w:after="80"/>
      </w:pPr>
      <w:r>
        <w:rPr>
          <w:rFonts w:ascii="Arial" w:cs="Arial" w:eastAsia="Arial" w:hAnsi="Arial"/>
          <w:b/>
          <w:bCs/>
          <w:color w:val="0E1020"/>
          <w:sz w:val="20"/>
          <w:szCs w:val="20"/>
        </w:rPr>
        <w:t xml:space="preserve">Actions: </w:t>
      </w:r>
      <w:r>
        <w:rPr>
          <w:rFonts w:ascii="Arial" w:cs="Arial" w:eastAsia="Arial" w:hAnsi="Arial"/>
          <w:color w:val="0E1020"/>
          <w:sz w:val="20"/>
          <w:szCs w:val="20"/>
        </w:rPr>
        <w:t xml:space="preserve">Approve, Approve with Modifications (enter overrides), Return to Customer (NIGO with specific missing items), Reject with Reason, Request Supervisory Override (dual authorization for amounts exceeding threshold)</w:t>
      </w:r>
    </w:p>
    <w:p>
      <w:pPr>
        <w:pStyle w:val="ListParagraph"/>
        <w:numPr>
          <w:ilvl w:val="0"/>
          <w:numId w:val="2"/>
        </w:numPr>
        <w:spacing w:after="80"/>
      </w:pPr>
      <w:r>
        <w:rPr>
          <w:rFonts w:ascii="Arial" w:cs="Arial" w:eastAsia="Arial" w:hAnsi="Arial"/>
          <w:b/>
          <w:bCs/>
          <w:color w:val="0E1020"/>
          <w:sz w:val="20"/>
          <w:szCs w:val="20"/>
        </w:rPr>
        <w:t xml:space="preserve">Unique Features: </w:t>
      </w:r>
      <w:r>
        <w:rPr>
          <w:rFonts w:ascii="Arial" w:cs="Arial" w:eastAsia="Arial" w:hAnsi="Arial"/>
          <w:color w:val="0E1020"/>
          <w:sz w:val="20"/>
          <w:szCs w:val="20"/>
        </w:rPr>
        <w:t xml:space="preserve">Complete workflow history timeline showing all prior touchpoints, ability to recalculate financial values with what-if scenarios, side-by-side comparison with prior transactions on the same policy</w:t>
      </w:r>
    </w:p>
    <w:p>
      <w:pPr>
        <w:pStyle w:val="Heading2"/>
        <w:spacing w:before="280" w:after="160"/>
      </w:pPr>
      <w:r>
        <w:rPr>
          <w:rFonts w:ascii="Arial" w:cs="Arial" w:eastAsia="Arial" w:hAnsi="Arial"/>
          <w:b/>
          <w:bCs/>
          <w:color w:val="004AAC"/>
          <w:sz w:val="26"/>
          <w:szCs w:val="26"/>
        </w:rPr>
        <w:t xml:space="preserve">4.5 Layer 5: Good Order Validation (IGO/NIGO)</w:t>
      </w:r>
    </w:p>
    <w:p>
      <w:pPr>
        <w:pStyle w:val="Heading3"/>
        <w:spacing w:before="200" w:after="120"/>
      </w:pPr>
      <w:r>
        <w:rPr>
          <w:rFonts w:ascii="Arial" w:cs="Arial" w:eastAsia="Arial" w:hAnsi="Arial"/>
          <w:b/>
          <w:bCs/>
          <w:color w:val="0E1020"/>
          <w:sz w:val="22"/>
          <w:szCs w:val="22"/>
        </w:rPr>
        <w:t xml:space="preserve">Component 5A: Good Order Checklist Engine</w:t>
      </w:r>
    </w:p>
    <w:p>
      <w:pPr>
        <w:spacing w:after="160"/>
      </w:pPr>
      <w:r>
        <w:rPr>
          <w:rFonts w:ascii="Arial" w:cs="Arial" w:eastAsia="Arial" w:hAnsi="Arial"/>
          <w:color w:val="0E1020"/>
          <w:sz w:val="20"/>
          <w:szCs w:val="20"/>
        </w:rPr>
        <w:t xml:space="preserve">A configurable checklist that runs before a transaction can be submitted to the admin system. The checklist items are defined per transaction type in the Transaction Type Registry.</w:t>
      </w:r>
    </w:p>
    <w:p>
      <w:pPr>
        <w:pStyle w:val="ListParagraph"/>
        <w:numPr>
          <w:ilvl w:val="0"/>
          <w:numId w:val="2"/>
        </w:numPr>
        <w:spacing w:after="80"/>
      </w:pPr>
      <w:r>
        <w:rPr>
          <w:rFonts w:ascii="Arial" w:cs="Arial" w:eastAsia="Arial" w:hAnsi="Arial"/>
          <w:b/>
          <w:bCs/>
          <w:color w:val="0E1020"/>
          <w:sz w:val="20"/>
          <w:szCs w:val="20"/>
        </w:rPr>
        <w:t xml:space="preserve">Loan-Specific Checks: </w:t>
      </w:r>
      <w:r>
        <w:rPr>
          <w:rFonts w:ascii="Arial" w:cs="Arial" w:eastAsia="Arial" w:hAnsi="Arial"/>
          <w:color w:val="0E1020"/>
          <w:sz w:val="20"/>
          <w:szCs w:val="20"/>
        </w:rPr>
        <w:t xml:space="preserve">Policy is active, requested amount does not exceed maximum, owner identity verified, signature present, payment method valid, tax withholding election present</w:t>
      </w:r>
    </w:p>
    <w:p>
      <w:pPr>
        <w:pStyle w:val="ListParagraph"/>
        <w:numPr>
          <w:ilvl w:val="0"/>
          <w:numId w:val="2"/>
        </w:numPr>
        <w:spacing w:after="80"/>
      </w:pPr>
      <w:r>
        <w:rPr>
          <w:rFonts w:ascii="Arial" w:cs="Arial" w:eastAsia="Arial" w:hAnsi="Arial"/>
          <w:b/>
          <w:bCs/>
          <w:color w:val="0E1020"/>
          <w:sz w:val="20"/>
          <w:szCs w:val="20"/>
        </w:rPr>
        <w:t xml:space="preserve">Surrender-Specific Checks: </w:t>
      </w:r>
      <w:r>
        <w:rPr>
          <w:rFonts w:ascii="Arial" w:cs="Arial" w:eastAsia="Arial" w:hAnsi="Arial"/>
          <w:color w:val="0E1020"/>
          <w:sz w:val="20"/>
          <w:szCs w:val="20"/>
        </w:rPr>
        <w:t xml:space="preserve">All of the above plus: all owners/assignees have signed, surrender charge disclosed and acknowledged, 1035 exchange documentation if applicable</w:t>
      </w:r>
    </w:p>
    <w:p>
      <w:pPr>
        <w:pStyle w:val="ListParagraph"/>
        <w:numPr>
          <w:ilvl w:val="0"/>
          <w:numId w:val="2"/>
        </w:numPr>
        <w:spacing w:after="80"/>
      </w:pPr>
      <w:r>
        <w:rPr>
          <w:rFonts w:ascii="Arial" w:cs="Arial" w:eastAsia="Arial" w:hAnsi="Arial"/>
          <w:b/>
          <w:bCs/>
          <w:color w:val="0E1020"/>
          <w:sz w:val="20"/>
          <w:szCs w:val="20"/>
        </w:rPr>
        <w:t xml:space="preserve">RMD-Specific Checks: </w:t>
      </w:r>
      <w:r>
        <w:rPr>
          <w:rFonts w:ascii="Arial" w:cs="Arial" w:eastAsia="Arial" w:hAnsi="Arial"/>
          <w:color w:val="0E1020"/>
          <w:sz w:val="20"/>
          <w:szCs w:val="20"/>
        </w:rPr>
        <w:t xml:space="preserve">All of the above plus: RMD calculation verified against admin system, distribution satisfies minimum required amount, payment schedule confirmed</w:t>
      </w:r>
    </w:p>
    <w:p>
      <w:pPr>
        <w:pStyle w:val="ListParagraph"/>
        <w:numPr>
          <w:ilvl w:val="0"/>
          <w:numId w:val="2"/>
        </w:numPr>
        <w:spacing w:after="80"/>
      </w:pPr>
      <w:r>
        <w:rPr>
          <w:rFonts w:ascii="Arial" w:cs="Arial" w:eastAsia="Arial" w:hAnsi="Arial"/>
          <w:b/>
          <w:bCs/>
          <w:color w:val="0E1020"/>
          <w:sz w:val="20"/>
          <w:szCs w:val="20"/>
        </w:rPr>
        <w:t xml:space="preserve">IGO Result: </w:t>
      </w:r>
      <w:r>
        <w:rPr>
          <w:rFonts w:ascii="Arial" w:cs="Arial" w:eastAsia="Arial" w:hAnsi="Arial"/>
          <w:color w:val="0E1020"/>
          <w:sz w:val="20"/>
          <w:szCs w:val="20"/>
        </w:rPr>
        <w:t xml:space="preserve">Transaction is submitted to the admin system via API</w:t>
      </w:r>
    </w:p>
    <w:p>
      <w:pPr>
        <w:pStyle w:val="ListParagraph"/>
        <w:numPr>
          <w:ilvl w:val="0"/>
          <w:numId w:val="2"/>
        </w:numPr>
        <w:spacing w:after="80"/>
      </w:pPr>
      <w:r>
        <w:rPr>
          <w:rFonts w:ascii="Arial" w:cs="Arial" w:eastAsia="Arial" w:hAnsi="Arial"/>
          <w:b/>
          <w:bCs/>
          <w:color w:val="0E1020"/>
          <w:sz w:val="20"/>
          <w:szCs w:val="20"/>
        </w:rPr>
        <w:t xml:space="preserve">NIGO Result: </w:t>
      </w:r>
      <w:r>
        <w:rPr>
          <w:rFonts w:ascii="Arial" w:cs="Arial" w:eastAsia="Arial" w:hAnsi="Arial"/>
          <w:color w:val="0E1020"/>
          <w:sz w:val="20"/>
          <w:szCs w:val="20"/>
        </w:rPr>
        <w:t xml:space="preserve">Case is returned to the customer with a generated correspondence listing the specific missing or incorrect items</w:t>
      </w:r>
    </w:p>
    <w:p>
      <w:pPr>
        <w:pStyle w:val="Heading2"/>
        <w:spacing w:before="280" w:after="160"/>
      </w:pPr>
      <w:r>
        <w:rPr>
          <w:rFonts w:ascii="Arial" w:cs="Arial" w:eastAsia="Arial" w:hAnsi="Arial"/>
          <w:b/>
          <w:bCs/>
          <w:color w:val="004AAC"/>
          <w:sz w:val="26"/>
          <w:szCs w:val="26"/>
        </w:rPr>
        <w:t xml:space="preserve">4.6 Layer 6: Admin System Integration</w:t>
      </w:r>
    </w:p>
    <w:p>
      <w:pPr>
        <w:pStyle w:val="Heading3"/>
        <w:spacing w:before="200" w:after="120"/>
      </w:pPr>
      <w:r>
        <w:rPr>
          <w:rFonts w:ascii="Arial" w:cs="Arial" w:eastAsia="Arial" w:hAnsi="Arial"/>
          <w:b/>
          <w:bCs/>
          <w:color w:val="0E1020"/>
          <w:sz w:val="22"/>
          <w:szCs w:val="22"/>
        </w:rPr>
        <w:t xml:space="preserve">Component 6A: Transaction Submission API</w:t>
      </w:r>
    </w:p>
    <w:p>
      <w:pPr>
        <w:spacing w:after="160"/>
      </w:pPr>
      <w:r>
        <w:rPr>
          <w:rFonts w:ascii="Arial" w:cs="Arial" w:eastAsia="Arial" w:hAnsi="Arial"/>
          <w:color w:val="0E1020"/>
          <w:sz w:val="20"/>
          <w:szCs w:val="20"/>
        </w:rPr>
        <w:t xml:space="preserve">Packages the validated transaction data into the format required by the admin system and submits via API. The API payload structure is defined per transaction type in the Transaction Type Registry.</w:t>
      </w:r>
    </w:p>
    <w:p>
      <w:pPr>
        <w:pStyle w:val="Heading3"/>
        <w:spacing w:before="200" w:after="120"/>
      </w:pPr>
      <w:r>
        <w:rPr>
          <w:rFonts w:ascii="Arial" w:cs="Arial" w:eastAsia="Arial" w:hAnsi="Arial"/>
          <w:b/>
          <w:bCs/>
          <w:color w:val="0E1020"/>
          <w:sz w:val="22"/>
          <w:szCs w:val="22"/>
        </w:rPr>
        <w:t xml:space="preserve">Component 6B: Confirmation &amp; Correspondence</w:t>
      </w:r>
    </w:p>
    <w:p>
      <w:pPr>
        <w:spacing w:after="160"/>
      </w:pPr>
      <w:r>
        <w:rPr>
          <w:rFonts w:ascii="Arial" w:cs="Arial" w:eastAsia="Arial" w:hAnsi="Arial"/>
          <w:color w:val="0E1020"/>
          <w:sz w:val="20"/>
          <w:szCs w:val="20"/>
        </w:rPr>
        <w:t xml:space="preserve">Receives the admin system confirmation, updates the case status, and triggers any required correspondence (confirmation letters, tax documentation, etc.) through the PAS and on-demand correspondence solution.</w:t>
      </w:r>
    </w:p>
    <w:p>
      <w:r>
        <w:br w:type="page"/>
      </w:r>
    </w:p>
    <w:p>
      <w:pPr>
        <w:pStyle w:val="Heading1"/>
        <w:spacing w:before="360" w:after="200"/>
      </w:pPr>
      <w:r>
        <w:rPr>
          <w:rFonts w:ascii="Arial" w:cs="Arial" w:eastAsia="Arial" w:hAnsi="Arial"/>
          <w:b/>
          <w:bCs/>
          <w:color w:val="0E1020"/>
          <w:sz w:val="32"/>
          <w:szCs w:val="32"/>
        </w:rPr>
        <w:t xml:space="preserve">5. Transaction Type Registry (Configuration Hub)</w:t>
      </w:r>
    </w:p>
    <w:p>
      <w:pPr>
        <w:spacing w:after="160"/>
      </w:pPr>
      <w:r>
        <w:rPr>
          <w:rFonts w:ascii="Arial" w:cs="Arial" w:eastAsia="Arial" w:hAnsi="Arial"/>
          <w:color w:val="0E1020"/>
          <w:sz w:val="20"/>
          <w:szCs w:val="20"/>
        </w:rPr>
        <w:t xml:space="preserve">The Transaction Type Registry is a ServiceNow configuration table that serves as the single source of truth for how each transaction type behaves. This is what makes the framework configurable and extensible. Adding a new financial transaction type means adding rows to this registry rather than writing new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D0CCC7" w:sz="1"/>
              <w:left w:val="single" w:color="D0CCC7" w:sz="1"/>
              <w:bottom w:val="single" w:color="D0CCC7" w:sz="1"/>
              <w:right w:val="single" w:color="D0CCC7" w:sz="1"/>
            </w:tcBorders>
            <w:shd w:fill="004AAC" w:val="clear"/>
            <w:tcMar>
              <w:top w:type="dxa" w:w="80"/>
              <w:left w:type="dxa" w:w="120"/>
              <w:bottom w:type="dxa" w:w="80"/>
              <w:right w:type="dxa" w:w="120"/>
            </w:tcMar>
            <w:vAlign w:val="center"/>
          </w:tcPr>
          <w:p>
            <w:r>
              <w:rPr>
                <w:rFonts w:ascii="Arial" w:cs="Arial" w:eastAsia="Arial" w:hAnsi="Arial"/>
                <w:b/>
                <w:bCs/>
                <w:color w:val="FFFFFF"/>
                <w:sz w:val="20"/>
                <w:szCs w:val="20"/>
              </w:rPr>
              <w:t xml:space="preserve">Registry Field</w:t>
            </w:r>
          </w:p>
        </w:tc>
        <w:tc>
          <w:tcPr>
            <w:tcW w:type="dxa" w:w="3380"/>
            <w:tcBorders>
              <w:top w:val="single" w:color="D0CCC7" w:sz="1"/>
              <w:left w:val="single" w:color="D0CCC7" w:sz="1"/>
              <w:bottom w:val="single" w:color="D0CCC7" w:sz="1"/>
              <w:right w:val="single" w:color="D0CCC7" w:sz="1"/>
            </w:tcBorders>
            <w:shd w:fill="004AAC"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c>
          <w:tcPr>
            <w:tcW w:type="dxa" w:w="3380"/>
            <w:tcBorders>
              <w:top w:val="single" w:color="D0CCC7" w:sz="1"/>
              <w:left w:val="single" w:color="D0CCC7" w:sz="1"/>
              <w:bottom w:val="single" w:color="D0CCC7" w:sz="1"/>
              <w:right w:val="single" w:color="D0CCC7" w:sz="1"/>
            </w:tcBorders>
            <w:shd w:fill="004AAC" w:val="clear"/>
            <w:tcMar>
              <w:top w:type="dxa" w:w="80"/>
              <w:left w:type="dxa" w:w="120"/>
              <w:bottom w:type="dxa" w:w="80"/>
              <w:right w:type="dxa" w:w="120"/>
            </w:tcMar>
            <w:vAlign w:val="center"/>
          </w:tcPr>
          <w:p>
            <w:r>
              <w:rPr>
                <w:rFonts w:ascii="Arial" w:cs="Arial" w:eastAsia="Arial" w:hAnsi="Arial"/>
                <w:b/>
                <w:bCs/>
                <w:color w:val="FFFFFF"/>
                <w:sz w:val="20"/>
                <w:szCs w:val="20"/>
              </w:rPr>
              <w:t xml:space="preserve">Loan Example</w:t>
            </w:r>
          </w:p>
        </w:tc>
      </w:tr>
      <w:tr>
        <w:tc>
          <w:tcPr>
            <w:tcW w:type="dxa" w:w="260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bCs/>
                <w:color w:val="0E1020"/>
                <w:sz w:val="20"/>
                <w:szCs w:val="20"/>
              </w:rPr>
              <w:t xml:space="preserve">Transaction Type Key</w:t>
            </w:r>
          </w:p>
        </w:tc>
        <w:tc>
          <w:tcPr>
            <w:tcW w:type="dxa" w:w="338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val="false"/>
                <w:bCs w:val="false"/>
                <w:color w:val="0E1020"/>
                <w:sz w:val="20"/>
                <w:szCs w:val="20"/>
              </w:rPr>
              <w:t xml:space="preserve">Unique identifier for the transaction type</w:t>
            </w:r>
          </w:p>
        </w:tc>
        <w:tc>
          <w:tcPr>
            <w:tcW w:type="dxa" w:w="338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val="false"/>
                <w:bCs w:val="false"/>
                <w:color w:val="0E1020"/>
                <w:sz w:val="20"/>
                <w:szCs w:val="20"/>
              </w:rPr>
              <w:t xml:space="preserve">LIFE_LOAN</w:t>
            </w:r>
          </w:p>
        </w:tc>
      </w:tr>
      <w:tr>
        <w:tc>
          <w:tcPr>
            <w:tcW w:type="dxa" w:w="2600"/>
            <w:tcBorders>
              <w:top w:val="single" w:color="D0CCC7" w:sz="1"/>
              <w:left w:val="single" w:color="D0CCC7" w:sz="1"/>
              <w:bottom w:val="single" w:color="D0CCC7" w:sz="1"/>
              <w:right w:val="single" w:color="D0CCC7" w:sz="1"/>
            </w:tcBorders>
            <w:shd w:fill="F6F3F0" w:val="clear"/>
            <w:tcMar>
              <w:top w:type="dxa" w:w="80"/>
              <w:left w:type="dxa" w:w="120"/>
              <w:bottom w:type="dxa" w:w="80"/>
              <w:right w:type="dxa" w:w="120"/>
            </w:tcMar>
          </w:tcPr>
          <w:p>
            <w:r>
              <w:rPr>
                <w:rFonts w:ascii="Arial" w:cs="Arial" w:eastAsia="Arial" w:hAnsi="Arial"/>
                <w:b/>
                <w:bCs/>
                <w:color w:val="0E1020"/>
                <w:sz w:val="20"/>
                <w:szCs w:val="20"/>
              </w:rPr>
              <w:t xml:space="preserve">Display Name</w:t>
            </w:r>
          </w:p>
        </w:tc>
        <w:tc>
          <w:tcPr>
            <w:tcW w:type="dxa" w:w="3380"/>
            <w:tcBorders>
              <w:top w:val="single" w:color="D0CCC7" w:sz="1"/>
              <w:left w:val="single" w:color="D0CCC7" w:sz="1"/>
              <w:bottom w:val="single" w:color="D0CCC7" w:sz="1"/>
              <w:right w:val="single" w:color="D0CCC7" w:sz="1"/>
            </w:tcBorders>
            <w:shd w:fill="F6F3F0" w:val="clear"/>
            <w:tcMar>
              <w:top w:type="dxa" w:w="80"/>
              <w:left w:type="dxa" w:w="120"/>
              <w:bottom w:type="dxa" w:w="80"/>
              <w:right w:type="dxa" w:w="120"/>
            </w:tcMar>
          </w:tcPr>
          <w:p>
            <w:r>
              <w:rPr>
                <w:rFonts w:ascii="Arial" w:cs="Arial" w:eastAsia="Arial" w:hAnsi="Arial"/>
                <w:b w:val="false"/>
                <w:bCs w:val="false"/>
                <w:color w:val="0E1020"/>
                <w:sz w:val="20"/>
                <w:szCs w:val="20"/>
              </w:rPr>
              <w:t xml:space="preserve">User-facing label</w:t>
            </w:r>
          </w:p>
        </w:tc>
        <w:tc>
          <w:tcPr>
            <w:tcW w:type="dxa" w:w="3380"/>
            <w:tcBorders>
              <w:top w:val="single" w:color="D0CCC7" w:sz="1"/>
              <w:left w:val="single" w:color="D0CCC7" w:sz="1"/>
              <w:bottom w:val="single" w:color="D0CCC7" w:sz="1"/>
              <w:right w:val="single" w:color="D0CCC7" w:sz="1"/>
            </w:tcBorders>
            <w:shd w:fill="F6F3F0" w:val="clear"/>
            <w:tcMar>
              <w:top w:type="dxa" w:w="80"/>
              <w:left w:type="dxa" w:w="120"/>
              <w:bottom w:type="dxa" w:w="80"/>
              <w:right w:type="dxa" w:w="120"/>
            </w:tcMar>
          </w:tcPr>
          <w:p>
            <w:r>
              <w:rPr>
                <w:rFonts w:ascii="Arial" w:cs="Arial" w:eastAsia="Arial" w:hAnsi="Arial"/>
                <w:b w:val="false"/>
                <w:bCs w:val="false"/>
                <w:color w:val="0E1020"/>
                <w:sz w:val="20"/>
                <w:szCs w:val="20"/>
              </w:rPr>
              <w:t xml:space="preserve">Policy Loan Request</w:t>
            </w:r>
          </w:p>
        </w:tc>
      </w:tr>
      <w:tr>
        <w:tc>
          <w:tcPr>
            <w:tcW w:type="dxa" w:w="260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bCs/>
                <w:color w:val="0E1020"/>
                <w:sz w:val="20"/>
                <w:szCs w:val="20"/>
              </w:rPr>
              <w:t xml:space="preserve">IDP Template Reference</w:t>
            </w:r>
          </w:p>
        </w:tc>
        <w:tc>
          <w:tcPr>
            <w:tcW w:type="dxa" w:w="338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val="false"/>
                <w:bCs w:val="false"/>
                <w:color w:val="0E1020"/>
                <w:sz w:val="20"/>
                <w:szCs w:val="20"/>
              </w:rPr>
              <w:t xml:space="preserve">Links to the IDP extraction template for this form type</w:t>
            </w:r>
          </w:p>
        </w:tc>
        <w:tc>
          <w:tcPr>
            <w:tcW w:type="dxa" w:w="338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val="false"/>
                <w:bCs w:val="false"/>
                <w:color w:val="0E1020"/>
                <w:sz w:val="20"/>
                <w:szCs w:val="20"/>
              </w:rPr>
              <w:t xml:space="preserve">IDP_TMPL_LOAN_V2</w:t>
            </w:r>
          </w:p>
        </w:tc>
      </w:tr>
      <w:tr>
        <w:tc>
          <w:tcPr>
            <w:tcW w:type="dxa" w:w="2600"/>
            <w:tcBorders>
              <w:top w:val="single" w:color="D0CCC7" w:sz="1"/>
              <w:left w:val="single" w:color="D0CCC7" w:sz="1"/>
              <w:bottom w:val="single" w:color="D0CCC7" w:sz="1"/>
              <w:right w:val="single" w:color="D0CCC7" w:sz="1"/>
            </w:tcBorders>
            <w:shd w:fill="F6F3F0" w:val="clear"/>
            <w:tcMar>
              <w:top w:type="dxa" w:w="80"/>
              <w:left w:type="dxa" w:w="120"/>
              <w:bottom w:type="dxa" w:w="80"/>
              <w:right w:type="dxa" w:w="120"/>
            </w:tcMar>
          </w:tcPr>
          <w:p>
            <w:r>
              <w:rPr>
                <w:rFonts w:ascii="Arial" w:cs="Arial" w:eastAsia="Arial" w:hAnsi="Arial"/>
                <w:b/>
                <w:bCs/>
                <w:color w:val="0E1020"/>
                <w:sz w:val="20"/>
                <w:szCs w:val="20"/>
              </w:rPr>
              <w:t xml:space="preserve">Decision Table Reference</w:t>
            </w:r>
          </w:p>
        </w:tc>
        <w:tc>
          <w:tcPr>
            <w:tcW w:type="dxa" w:w="3380"/>
            <w:tcBorders>
              <w:top w:val="single" w:color="D0CCC7" w:sz="1"/>
              <w:left w:val="single" w:color="D0CCC7" w:sz="1"/>
              <w:bottom w:val="single" w:color="D0CCC7" w:sz="1"/>
              <w:right w:val="single" w:color="D0CCC7" w:sz="1"/>
            </w:tcBorders>
            <w:shd w:fill="F6F3F0" w:val="clear"/>
            <w:tcMar>
              <w:top w:type="dxa" w:w="80"/>
              <w:left w:type="dxa" w:w="120"/>
              <w:bottom w:type="dxa" w:w="80"/>
              <w:right w:type="dxa" w:w="120"/>
            </w:tcMar>
          </w:tcPr>
          <w:p>
            <w:r>
              <w:rPr>
                <w:rFonts w:ascii="Arial" w:cs="Arial" w:eastAsia="Arial" w:hAnsi="Arial"/>
                <w:b w:val="false"/>
                <w:bCs w:val="false"/>
                <w:color w:val="0E1020"/>
                <w:sz w:val="20"/>
                <w:szCs w:val="20"/>
              </w:rPr>
              <w:t xml:space="preserve">Links to the triage decision table to evaluate</w:t>
            </w:r>
          </w:p>
        </w:tc>
        <w:tc>
          <w:tcPr>
            <w:tcW w:type="dxa" w:w="3380"/>
            <w:tcBorders>
              <w:top w:val="single" w:color="D0CCC7" w:sz="1"/>
              <w:left w:val="single" w:color="D0CCC7" w:sz="1"/>
              <w:bottom w:val="single" w:color="D0CCC7" w:sz="1"/>
              <w:right w:val="single" w:color="D0CCC7" w:sz="1"/>
            </w:tcBorders>
            <w:shd w:fill="F6F3F0" w:val="clear"/>
            <w:tcMar>
              <w:top w:type="dxa" w:w="80"/>
              <w:left w:type="dxa" w:w="120"/>
              <w:bottom w:type="dxa" w:w="80"/>
              <w:right w:type="dxa" w:w="120"/>
            </w:tcMar>
          </w:tcPr>
          <w:p>
            <w:r>
              <w:rPr>
                <w:rFonts w:ascii="Arial" w:cs="Arial" w:eastAsia="Arial" w:hAnsi="Arial"/>
                <w:b w:val="false"/>
                <w:bCs w:val="false"/>
                <w:color w:val="0E1020"/>
                <w:sz w:val="20"/>
                <w:szCs w:val="20"/>
              </w:rPr>
              <w:t xml:space="preserve">DT_LOAN_TRIAGE_V1</w:t>
            </w:r>
          </w:p>
        </w:tc>
      </w:tr>
      <w:tr>
        <w:tc>
          <w:tcPr>
            <w:tcW w:type="dxa" w:w="260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bCs/>
                <w:color w:val="0E1020"/>
                <w:sz w:val="20"/>
                <w:szCs w:val="20"/>
              </w:rPr>
              <w:t xml:space="preserve">Form Field Layout</w:t>
            </w:r>
          </w:p>
        </w:tc>
        <w:tc>
          <w:tcPr>
            <w:tcW w:type="dxa" w:w="338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val="false"/>
                <w:bCs w:val="false"/>
                <w:color w:val="0E1020"/>
                <w:sz w:val="20"/>
                <w:szCs w:val="20"/>
              </w:rPr>
              <w:t xml:space="preserve">Defines which fields appear in the validation form and their grouping</w:t>
            </w:r>
          </w:p>
        </w:tc>
        <w:tc>
          <w:tcPr>
            <w:tcW w:type="dxa" w:w="338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val="false"/>
                <w:bCs w:val="false"/>
                <w:color w:val="0E1020"/>
                <w:sz w:val="20"/>
                <w:szCs w:val="20"/>
              </w:rPr>
              <w:t xml:space="preserve">LAYOUT_LOAN_FIELDS</w:t>
            </w:r>
          </w:p>
        </w:tc>
      </w:tr>
      <w:tr>
        <w:tc>
          <w:tcPr>
            <w:tcW w:type="dxa" w:w="2600"/>
            <w:tcBorders>
              <w:top w:val="single" w:color="D0CCC7" w:sz="1"/>
              <w:left w:val="single" w:color="D0CCC7" w:sz="1"/>
              <w:bottom w:val="single" w:color="D0CCC7" w:sz="1"/>
              <w:right w:val="single" w:color="D0CCC7" w:sz="1"/>
            </w:tcBorders>
            <w:shd w:fill="F6F3F0" w:val="clear"/>
            <w:tcMar>
              <w:top w:type="dxa" w:w="80"/>
              <w:left w:type="dxa" w:w="120"/>
              <w:bottom w:type="dxa" w:w="80"/>
              <w:right w:type="dxa" w:w="120"/>
            </w:tcMar>
          </w:tcPr>
          <w:p>
            <w:r>
              <w:rPr>
                <w:rFonts w:ascii="Arial" w:cs="Arial" w:eastAsia="Arial" w:hAnsi="Arial"/>
                <w:b/>
                <w:bCs/>
                <w:color w:val="0E1020"/>
                <w:sz w:val="20"/>
                <w:szCs w:val="20"/>
              </w:rPr>
              <w:t xml:space="preserve">Good Order Checklist</w:t>
            </w:r>
          </w:p>
        </w:tc>
        <w:tc>
          <w:tcPr>
            <w:tcW w:type="dxa" w:w="3380"/>
            <w:tcBorders>
              <w:top w:val="single" w:color="D0CCC7" w:sz="1"/>
              <w:left w:val="single" w:color="D0CCC7" w:sz="1"/>
              <w:bottom w:val="single" w:color="D0CCC7" w:sz="1"/>
              <w:right w:val="single" w:color="D0CCC7" w:sz="1"/>
            </w:tcBorders>
            <w:shd w:fill="F6F3F0" w:val="clear"/>
            <w:tcMar>
              <w:top w:type="dxa" w:w="80"/>
              <w:left w:type="dxa" w:w="120"/>
              <w:bottom w:type="dxa" w:w="80"/>
              <w:right w:type="dxa" w:w="120"/>
            </w:tcMar>
          </w:tcPr>
          <w:p>
            <w:r>
              <w:rPr>
                <w:rFonts w:ascii="Arial" w:cs="Arial" w:eastAsia="Arial" w:hAnsi="Arial"/>
                <w:b w:val="false"/>
                <w:bCs w:val="false"/>
                <w:color w:val="0E1020"/>
                <w:sz w:val="20"/>
                <w:szCs w:val="20"/>
              </w:rPr>
              <w:t xml:space="preserve">Links to the IGO/NIGO checklist for this transaction type</w:t>
            </w:r>
          </w:p>
        </w:tc>
        <w:tc>
          <w:tcPr>
            <w:tcW w:type="dxa" w:w="3380"/>
            <w:tcBorders>
              <w:top w:val="single" w:color="D0CCC7" w:sz="1"/>
              <w:left w:val="single" w:color="D0CCC7" w:sz="1"/>
              <w:bottom w:val="single" w:color="D0CCC7" w:sz="1"/>
              <w:right w:val="single" w:color="D0CCC7" w:sz="1"/>
            </w:tcBorders>
            <w:shd w:fill="F6F3F0" w:val="clear"/>
            <w:tcMar>
              <w:top w:type="dxa" w:w="80"/>
              <w:left w:type="dxa" w:w="120"/>
              <w:bottom w:type="dxa" w:w="80"/>
              <w:right w:type="dxa" w:w="120"/>
            </w:tcMar>
          </w:tcPr>
          <w:p>
            <w:r>
              <w:rPr>
                <w:rFonts w:ascii="Arial" w:cs="Arial" w:eastAsia="Arial" w:hAnsi="Arial"/>
                <w:b w:val="false"/>
                <w:bCs w:val="false"/>
                <w:color w:val="0E1020"/>
                <w:sz w:val="20"/>
                <w:szCs w:val="20"/>
              </w:rPr>
              <w:t xml:space="preserve">GOC_LOAN_STANDARD</w:t>
            </w:r>
          </w:p>
        </w:tc>
      </w:tr>
      <w:tr>
        <w:tc>
          <w:tcPr>
            <w:tcW w:type="dxa" w:w="260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bCs/>
                <w:color w:val="0E1020"/>
                <w:sz w:val="20"/>
                <w:szCs w:val="20"/>
              </w:rPr>
              <w:t xml:space="preserve">API Payload Template</w:t>
            </w:r>
          </w:p>
        </w:tc>
        <w:tc>
          <w:tcPr>
            <w:tcW w:type="dxa" w:w="338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val="false"/>
                <w:bCs w:val="false"/>
                <w:color w:val="0E1020"/>
                <w:sz w:val="20"/>
                <w:szCs w:val="20"/>
              </w:rPr>
              <w:t xml:space="preserve">Defines the admin system API payload structure</w:t>
            </w:r>
          </w:p>
        </w:tc>
        <w:tc>
          <w:tcPr>
            <w:tcW w:type="dxa" w:w="338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val="false"/>
                <w:bCs w:val="false"/>
                <w:color w:val="0E1020"/>
                <w:sz w:val="20"/>
                <w:szCs w:val="20"/>
              </w:rPr>
              <w:t xml:space="preserve">API_LOAN_SUBMIT_V1</w:t>
            </w:r>
          </w:p>
        </w:tc>
      </w:tr>
      <w:tr>
        <w:tc>
          <w:tcPr>
            <w:tcW w:type="dxa" w:w="2600"/>
            <w:tcBorders>
              <w:top w:val="single" w:color="D0CCC7" w:sz="1"/>
              <w:left w:val="single" w:color="D0CCC7" w:sz="1"/>
              <w:bottom w:val="single" w:color="D0CCC7" w:sz="1"/>
              <w:right w:val="single" w:color="D0CCC7" w:sz="1"/>
            </w:tcBorders>
            <w:shd w:fill="F6F3F0" w:val="clear"/>
            <w:tcMar>
              <w:top w:type="dxa" w:w="80"/>
              <w:left w:type="dxa" w:w="120"/>
              <w:bottom w:type="dxa" w:w="80"/>
              <w:right w:type="dxa" w:w="120"/>
            </w:tcMar>
          </w:tcPr>
          <w:p>
            <w:r>
              <w:rPr>
                <w:rFonts w:ascii="Arial" w:cs="Arial" w:eastAsia="Arial" w:hAnsi="Arial"/>
                <w:b/>
                <w:bCs/>
                <w:color w:val="0E1020"/>
                <w:sz w:val="20"/>
                <w:szCs w:val="20"/>
              </w:rPr>
              <w:t xml:space="preserve">Confidence Thresholds</w:t>
            </w:r>
          </w:p>
        </w:tc>
        <w:tc>
          <w:tcPr>
            <w:tcW w:type="dxa" w:w="3380"/>
            <w:tcBorders>
              <w:top w:val="single" w:color="D0CCC7" w:sz="1"/>
              <w:left w:val="single" w:color="D0CCC7" w:sz="1"/>
              <w:bottom w:val="single" w:color="D0CCC7" w:sz="1"/>
              <w:right w:val="single" w:color="D0CCC7" w:sz="1"/>
            </w:tcBorders>
            <w:shd w:fill="F6F3F0" w:val="clear"/>
            <w:tcMar>
              <w:top w:type="dxa" w:w="80"/>
              <w:left w:type="dxa" w:w="120"/>
              <w:bottom w:type="dxa" w:w="80"/>
              <w:right w:type="dxa" w:w="120"/>
            </w:tcMar>
          </w:tcPr>
          <w:p>
            <w:r>
              <w:rPr>
                <w:rFonts w:ascii="Arial" w:cs="Arial" w:eastAsia="Arial" w:hAnsi="Arial"/>
                <w:b w:val="false"/>
                <w:bCs w:val="false"/>
                <w:color w:val="0E1020"/>
                <w:sz w:val="20"/>
                <w:szCs w:val="20"/>
              </w:rPr>
              <w:t xml:space="preserve">Per-field IDP confidence thresholds for auto-validation</w:t>
            </w:r>
          </w:p>
        </w:tc>
        <w:tc>
          <w:tcPr>
            <w:tcW w:type="dxa" w:w="3380"/>
            <w:tcBorders>
              <w:top w:val="single" w:color="D0CCC7" w:sz="1"/>
              <w:left w:val="single" w:color="D0CCC7" w:sz="1"/>
              <w:bottom w:val="single" w:color="D0CCC7" w:sz="1"/>
              <w:right w:val="single" w:color="D0CCC7" w:sz="1"/>
            </w:tcBorders>
            <w:shd w:fill="F6F3F0" w:val="clear"/>
            <w:tcMar>
              <w:top w:type="dxa" w:w="80"/>
              <w:left w:type="dxa" w:w="120"/>
              <w:bottom w:type="dxa" w:w="80"/>
              <w:right w:type="dxa" w:w="120"/>
            </w:tcMar>
          </w:tcPr>
          <w:p>
            <w:r>
              <w:rPr>
                <w:rFonts w:ascii="Arial" w:cs="Arial" w:eastAsia="Arial" w:hAnsi="Arial"/>
                <w:b w:val="false"/>
                <w:bCs w:val="false"/>
                <w:color w:val="0E1020"/>
                <w:sz w:val="20"/>
                <w:szCs w:val="20"/>
              </w:rPr>
              <w:t xml:space="preserve">90% default, 95% for signature, 85% for amounts</w:t>
            </w:r>
          </w:p>
        </w:tc>
      </w:tr>
      <w:tr>
        <w:tc>
          <w:tcPr>
            <w:tcW w:type="dxa" w:w="260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bCs/>
                <w:color w:val="0E1020"/>
                <w:sz w:val="20"/>
                <w:szCs w:val="20"/>
              </w:rPr>
              <w:t xml:space="preserve">Correspondence Templates</w:t>
            </w:r>
          </w:p>
        </w:tc>
        <w:tc>
          <w:tcPr>
            <w:tcW w:type="dxa" w:w="338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val="false"/>
                <w:bCs w:val="false"/>
                <w:color w:val="0E1020"/>
                <w:sz w:val="20"/>
                <w:szCs w:val="20"/>
              </w:rPr>
              <w:t xml:space="preserve">Links to NIGO letter, confirmation, and tax document templates</w:t>
            </w:r>
          </w:p>
        </w:tc>
        <w:tc>
          <w:tcPr>
            <w:tcW w:type="dxa" w:w="338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val="false"/>
                <w:bCs w:val="false"/>
                <w:color w:val="0E1020"/>
                <w:sz w:val="20"/>
                <w:szCs w:val="20"/>
              </w:rPr>
              <w:t xml:space="preserve">CORR_LOAN_NIGO, CORR_LOAN_CONFIRM</w:t>
            </w:r>
          </w:p>
        </w:tc>
      </w:tr>
    </w:tbl>
    <w:p>
      <w:pPr>
        <w:spacing w:after="120"/>
      </w:pPr>
    </w:p>
    <w:p>
      <w:pPr>
        <w:pStyle w:val="Heading1"/>
        <w:spacing w:before="360" w:after="200"/>
      </w:pPr>
      <w:r>
        <w:rPr>
          <w:rFonts w:ascii="Arial" w:cs="Arial" w:eastAsia="Arial" w:hAnsi="Arial"/>
          <w:b/>
          <w:bCs/>
          <w:color w:val="0E1020"/>
          <w:sz w:val="32"/>
          <w:szCs w:val="32"/>
        </w:rPr>
        <w:t xml:space="preserve">6. Hackathon Build Plan</w:t>
      </w:r>
    </w:p>
    <w:p>
      <w:pPr>
        <w:spacing w:after="160"/>
      </w:pPr>
      <w:r>
        <w:rPr>
          <w:rFonts w:ascii="Arial" w:cs="Arial" w:eastAsia="Arial" w:hAnsi="Arial"/>
          <w:color w:val="0E1020"/>
          <w:sz w:val="20"/>
          <w:szCs w:val="20"/>
        </w:rPr>
        <w:t xml:space="preserve">The hackathon is structured around building the Loan &amp; Withdrawal Smart App as the reference implementation. The following plan organizes the work into parallel tracks that can be developed by separate sub-teams and integrated at the end.</w:t>
      </w:r>
    </w:p>
    <w:p>
      <w:pPr>
        <w:pStyle w:val="Heading2"/>
        <w:spacing w:before="280" w:after="160"/>
      </w:pPr>
      <w:r>
        <w:rPr>
          <w:rFonts w:ascii="Arial" w:cs="Arial" w:eastAsia="Arial" w:hAnsi="Arial"/>
          <w:b/>
          <w:bCs/>
          <w:color w:val="004AAC"/>
          <w:sz w:val="26"/>
          <w:szCs w:val="26"/>
        </w:rPr>
        <w:t xml:space="preserve">6.1 Track 1: Foundation &amp; Entity Services</w:t>
      </w:r>
    </w:p>
    <w:p>
      <w:pPr>
        <w:spacing w:after="160"/>
      </w:pPr>
      <w:r>
        <w:rPr>
          <w:rFonts w:ascii="Arial" w:cs="Arial" w:eastAsia="Arial" w:hAnsi="Arial"/>
          <w:color w:val="0E1020"/>
          <w:sz w:val="20"/>
          <w:szCs w:val="20"/>
        </w:rPr>
        <w:t xml:space="preserve">Build the data backbone that all UI components consume.</w:t>
      </w:r>
    </w:p>
    <w:p>
      <w:pPr>
        <w:pStyle w:val="ListParagraph"/>
        <w:numPr>
          <w:ilvl w:val="0"/>
          <w:numId w:val="2"/>
        </w:numPr>
        <w:spacing w:after="80"/>
      </w:pPr>
      <w:r>
        <w:rPr>
          <w:rFonts w:ascii="Arial" w:cs="Arial" w:eastAsia="Arial" w:hAnsi="Arial"/>
          <w:b/>
          <w:bCs/>
          <w:color w:val="0E1020"/>
          <w:sz w:val="20"/>
          <w:szCs w:val="20"/>
        </w:rPr>
        <w:t xml:space="preserve">T1.1: </w:t>
      </w:r>
      <w:r>
        <w:rPr>
          <w:rFonts w:ascii="Arial" w:cs="Arial" w:eastAsia="Arial" w:hAnsi="Arial"/>
          <w:color w:val="0E1020"/>
          <w:sz w:val="20"/>
          <w:szCs w:val="20"/>
        </w:rPr>
        <w:t xml:space="preserve">Create the Transaction Type Registry table in ServiceNow with all configuration fields. Seed with Loan and Withdrawal records.</w:t>
      </w:r>
    </w:p>
    <w:p>
      <w:pPr>
        <w:pStyle w:val="ListParagraph"/>
        <w:numPr>
          <w:ilvl w:val="0"/>
          <w:numId w:val="2"/>
        </w:numPr>
        <w:spacing w:after="80"/>
      </w:pPr>
      <w:r>
        <w:rPr>
          <w:rFonts w:ascii="Arial" w:cs="Arial" w:eastAsia="Arial" w:hAnsi="Arial"/>
          <w:b/>
          <w:bCs/>
          <w:color w:val="0E1020"/>
          <w:sz w:val="20"/>
          <w:szCs w:val="20"/>
        </w:rPr>
        <w:t xml:space="preserve">T1.2: </w:t>
      </w:r>
      <w:r>
        <w:rPr>
          <w:rFonts w:ascii="Arial" w:cs="Arial" w:eastAsia="Arial" w:hAnsi="Arial"/>
          <w:color w:val="0E1020"/>
          <w:sz w:val="20"/>
          <w:szCs w:val="20"/>
        </w:rPr>
        <w:t xml:space="preserve">Build the IDP Entity Provider service: accepts IDP extraction results, normalizes to standard entity schema, exposes via ServiceNow scripted REST API.</w:t>
      </w:r>
    </w:p>
    <w:p>
      <w:pPr>
        <w:pStyle w:val="ListParagraph"/>
        <w:numPr>
          <w:ilvl w:val="0"/>
          <w:numId w:val="2"/>
        </w:numPr>
        <w:spacing w:after="80"/>
      </w:pPr>
      <w:r>
        <w:rPr>
          <w:rFonts w:ascii="Arial" w:cs="Arial" w:eastAsia="Arial" w:hAnsi="Arial"/>
          <w:b/>
          <w:bCs/>
          <w:color w:val="0E1020"/>
          <w:sz w:val="20"/>
          <w:szCs w:val="20"/>
        </w:rPr>
        <w:t xml:space="preserve">T1.3: </w:t>
      </w:r>
      <w:r>
        <w:rPr>
          <w:rFonts w:ascii="Arial" w:cs="Arial" w:eastAsia="Arial" w:hAnsi="Arial"/>
          <w:color w:val="0E1020"/>
          <w:sz w:val="20"/>
          <w:szCs w:val="20"/>
        </w:rPr>
        <w:t xml:space="preserve">Build the Policy Entity Provider service: calls admin system API to retrieve policy data, normalizes to standard entity schema, caches for case duration.</w:t>
      </w:r>
    </w:p>
    <w:p>
      <w:pPr>
        <w:pStyle w:val="ListParagraph"/>
        <w:numPr>
          <w:ilvl w:val="0"/>
          <w:numId w:val="2"/>
        </w:numPr>
        <w:spacing w:after="80"/>
      </w:pPr>
      <w:r>
        <w:rPr>
          <w:rFonts w:ascii="Arial" w:cs="Arial" w:eastAsia="Arial" w:hAnsi="Arial"/>
          <w:b/>
          <w:bCs/>
          <w:color w:val="0E1020"/>
          <w:sz w:val="20"/>
          <w:szCs w:val="20"/>
        </w:rPr>
        <w:t xml:space="preserve">T1.4: </w:t>
      </w:r>
      <w:r>
        <w:rPr>
          <w:rFonts w:ascii="Arial" w:cs="Arial" w:eastAsia="Arial" w:hAnsi="Arial"/>
          <w:color w:val="0E1020"/>
          <w:sz w:val="20"/>
          <w:szCs w:val="20"/>
        </w:rPr>
        <w:t xml:space="preserve">Build the Workflow History Entity Provider: writes and reads case lifecycle events to ServiceNow tables, provides timeline API.</w:t>
      </w:r>
    </w:p>
    <w:p>
      <w:pPr>
        <w:pStyle w:val="Heading2"/>
        <w:spacing w:before="280" w:after="160"/>
      </w:pPr>
      <w:r>
        <w:rPr>
          <w:rFonts w:ascii="Arial" w:cs="Arial" w:eastAsia="Arial" w:hAnsi="Arial"/>
          <w:b/>
          <w:bCs/>
          <w:color w:val="004AAC"/>
          <w:sz w:val="26"/>
          <w:szCs w:val="26"/>
        </w:rPr>
        <w:t xml:space="preserve">6.2 Track 2: Triage Engine &amp; Decision Table UI</w:t>
      </w:r>
    </w:p>
    <w:p>
      <w:pPr>
        <w:spacing w:after="160"/>
      </w:pPr>
      <w:r>
        <w:rPr>
          <w:rFonts w:ascii="Arial" w:cs="Arial" w:eastAsia="Arial" w:hAnsi="Arial"/>
          <w:color w:val="0E1020"/>
          <w:sz w:val="20"/>
          <w:szCs w:val="20"/>
        </w:rPr>
        <w:t xml:space="preserve">Build the configurable triage capability, which is the most differentiated feature.</w:t>
      </w:r>
    </w:p>
    <w:p>
      <w:pPr>
        <w:pStyle w:val="ListParagraph"/>
        <w:numPr>
          <w:ilvl w:val="0"/>
          <w:numId w:val="2"/>
        </w:numPr>
        <w:spacing w:after="80"/>
      </w:pPr>
      <w:r>
        <w:rPr>
          <w:rFonts w:ascii="Arial" w:cs="Arial" w:eastAsia="Arial" w:hAnsi="Arial"/>
          <w:b/>
          <w:bCs/>
          <w:color w:val="0E1020"/>
          <w:sz w:val="20"/>
          <w:szCs w:val="20"/>
        </w:rPr>
        <w:t xml:space="preserve">T2.1: </w:t>
      </w:r>
      <w:r>
        <w:rPr>
          <w:rFonts w:ascii="Arial" w:cs="Arial" w:eastAsia="Arial" w:hAnsi="Arial"/>
          <w:color w:val="0E1020"/>
          <w:sz w:val="20"/>
          <w:szCs w:val="20"/>
        </w:rPr>
        <w:t xml:space="preserve">Build the Decision Table data model in ServiceNow: tables for decision tables, rules, conditions, and outputs.</w:t>
      </w:r>
    </w:p>
    <w:p>
      <w:pPr>
        <w:pStyle w:val="ListParagraph"/>
        <w:numPr>
          <w:ilvl w:val="0"/>
          <w:numId w:val="2"/>
        </w:numPr>
        <w:spacing w:after="80"/>
      </w:pPr>
      <w:r>
        <w:rPr>
          <w:rFonts w:ascii="Arial" w:cs="Arial" w:eastAsia="Arial" w:hAnsi="Arial"/>
          <w:b/>
          <w:bCs/>
          <w:color w:val="0E1020"/>
          <w:sz w:val="20"/>
          <w:szCs w:val="20"/>
        </w:rPr>
        <w:t xml:space="preserve">T2.2: </w:t>
      </w:r>
      <w:r>
        <w:rPr>
          <w:rFonts w:ascii="Arial" w:cs="Arial" w:eastAsia="Arial" w:hAnsi="Arial"/>
          <w:color w:val="0E1020"/>
          <w:sz w:val="20"/>
          <w:szCs w:val="20"/>
        </w:rPr>
        <w:t xml:space="preserve">Build the Decision Table Builder UI (Component 3A): entity selector, rule grid, test harness. This is the primary demo artifact.</w:t>
      </w:r>
    </w:p>
    <w:p>
      <w:pPr>
        <w:pStyle w:val="ListParagraph"/>
        <w:numPr>
          <w:ilvl w:val="0"/>
          <w:numId w:val="2"/>
        </w:numPr>
        <w:spacing w:after="80"/>
      </w:pPr>
      <w:r>
        <w:rPr>
          <w:rFonts w:ascii="Arial" w:cs="Arial" w:eastAsia="Arial" w:hAnsi="Arial"/>
          <w:b/>
          <w:bCs/>
          <w:color w:val="0E1020"/>
          <w:sz w:val="20"/>
          <w:szCs w:val="20"/>
        </w:rPr>
        <w:t xml:space="preserve">T2.3: </w:t>
      </w:r>
      <w:r>
        <w:rPr>
          <w:rFonts w:ascii="Arial" w:cs="Arial" w:eastAsia="Arial" w:hAnsi="Arial"/>
          <w:color w:val="0E1020"/>
          <w:sz w:val="20"/>
          <w:szCs w:val="20"/>
        </w:rPr>
        <w:t xml:space="preserve">Build the Triage Runtime Engine (Component 3B): server-side script that evaluates cases against decision tables.</w:t>
      </w:r>
    </w:p>
    <w:p>
      <w:pPr>
        <w:pStyle w:val="ListParagraph"/>
        <w:numPr>
          <w:ilvl w:val="0"/>
          <w:numId w:val="2"/>
        </w:numPr>
        <w:spacing w:after="80"/>
      </w:pPr>
      <w:r>
        <w:rPr>
          <w:rFonts w:ascii="Arial" w:cs="Arial" w:eastAsia="Arial" w:hAnsi="Arial"/>
          <w:b/>
          <w:bCs/>
          <w:color w:val="0E1020"/>
          <w:sz w:val="20"/>
          <w:szCs w:val="20"/>
        </w:rPr>
        <w:t xml:space="preserve">T2.4: </w:t>
      </w:r>
      <w:r>
        <w:rPr>
          <w:rFonts w:ascii="Arial" w:cs="Arial" w:eastAsia="Arial" w:hAnsi="Arial"/>
          <w:color w:val="0E1020"/>
          <w:sz w:val="20"/>
          <w:szCs w:val="20"/>
        </w:rPr>
        <w:t xml:space="preserve">Seed the Loan and Withdrawal decision tables with initial rules.</w:t>
      </w:r>
    </w:p>
    <w:p>
      <w:pPr>
        <w:pStyle w:val="Heading2"/>
        <w:spacing w:before="280" w:after="160"/>
      </w:pPr>
      <w:r>
        <w:rPr>
          <w:rFonts w:ascii="Arial" w:cs="Arial" w:eastAsia="Arial" w:hAnsi="Arial"/>
          <w:b/>
          <w:bCs/>
          <w:color w:val="004AAC"/>
          <w:sz w:val="26"/>
          <w:szCs w:val="26"/>
        </w:rPr>
        <w:t xml:space="preserve">6.3 Track 3: Processing Workspaces</w:t>
      </w:r>
    </w:p>
    <w:p>
      <w:pPr>
        <w:spacing w:after="160"/>
      </w:pPr>
      <w:r>
        <w:rPr>
          <w:rFonts w:ascii="Arial" w:cs="Arial" w:eastAsia="Arial" w:hAnsi="Arial"/>
          <w:color w:val="0E1020"/>
          <w:sz w:val="20"/>
          <w:szCs w:val="20"/>
        </w:rPr>
        <w:t xml:space="preserve">Build the three touch-level UIs as ServiceNow workspace components.</w:t>
      </w:r>
    </w:p>
    <w:p>
      <w:pPr>
        <w:pStyle w:val="ListParagraph"/>
        <w:numPr>
          <w:ilvl w:val="0"/>
          <w:numId w:val="2"/>
        </w:numPr>
        <w:spacing w:after="80"/>
      </w:pPr>
      <w:r>
        <w:rPr>
          <w:rFonts w:ascii="Arial" w:cs="Arial" w:eastAsia="Arial" w:hAnsi="Arial"/>
          <w:b/>
          <w:bCs/>
          <w:color w:val="0E1020"/>
          <w:sz w:val="20"/>
          <w:szCs w:val="20"/>
        </w:rPr>
        <w:t xml:space="preserve">T3.1: </w:t>
      </w:r>
      <w:r>
        <w:rPr>
          <w:rFonts w:ascii="Arial" w:cs="Arial" w:eastAsia="Arial" w:hAnsi="Arial"/>
          <w:color w:val="0E1020"/>
          <w:sz w:val="20"/>
          <w:szCs w:val="20"/>
        </w:rPr>
        <w:t xml:space="preserve">Build the Low-Touch Workspace (Component 4A) with summary card layout and approve action.</w:t>
      </w:r>
    </w:p>
    <w:p>
      <w:pPr>
        <w:pStyle w:val="ListParagraph"/>
        <w:numPr>
          <w:ilvl w:val="0"/>
          <w:numId w:val="2"/>
        </w:numPr>
        <w:spacing w:after="80"/>
      </w:pPr>
      <w:r>
        <w:rPr>
          <w:rFonts w:ascii="Arial" w:cs="Arial" w:eastAsia="Arial" w:hAnsi="Arial"/>
          <w:b/>
          <w:bCs/>
          <w:color w:val="0E1020"/>
          <w:sz w:val="20"/>
          <w:szCs w:val="20"/>
        </w:rPr>
        <w:t xml:space="preserve">T3.2: </w:t>
      </w:r>
      <w:r>
        <w:rPr>
          <w:rFonts w:ascii="Arial" w:cs="Arial" w:eastAsia="Arial" w:hAnsi="Arial"/>
          <w:color w:val="0E1020"/>
          <w:sz w:val="20"/>
          <w:szCs w:val="20"/>
        </w:rPr>
        <w:t xml:space="preserve">Build the Moderate-Touch Workspace (Component 4B) with flagged items panel and validation checklist.</w:t>
      </w:r>
    </w:p>
    <w:p>
      <w:pPr>
        <w:pStyle w:val="ListParagraph"/>
        <w:numPr>
          <w:ilvl w:val="0"/>
          <w:numId w:val="2"/>
        </w:numPr>
        <w:spacing w:after="80"/>
      </w:pPr>
      <w:r>
        <w:rPr>
          <w:rFonts w:ascii="Arial" w:cs="Arial" w:eastAsia="Arial" w:hAnsi="Arial"/>
          <w:b/>
          <w:bCs/>
          <w:color w:val="0E1020"/>
          <w:sz w:val="20"/>
          <w:szCs w:val="20"/>
        </w:rPr>
        <w:t xml:space="preserve">T3.3: </w:t>
      </w:r>
      <w:r>
        <w:rPr>
          <w:rFonts w:ascii="Arial" w:cs="Arial" w:eastAsia="Arial" w:hAnsi="Arial"/>
          <w:color w:val="0E1020"/>
          <w:sz w:val="20"/>
          <w:szCs w:val="20"/>
        </w:rPr>
        <w:t xml:space="preserve">Build the High-Touch Workspace (Component 4C) with four-panel layout, document viewer, and financial calculator.</w:t>
      </w:r>
    </w:p>
    <w:p>
      <w:pPr>
        <w:pStyle w:val="ListParagraph"/>
        <w:numPr>
          <w:ilvl w:val="0"/>
          <w:numId w:val="2"/>
        </w:numPr>
        <w:spacing w:after="80"/>
      </w:pPr>
      <w:r>
        <w:rPr>
          <w:rFonts w:ascii="Arial" w:cs="Arial" w:eastAsia="Arial" w:hAnsi="Arial"/>
          <w:b/>
          <w:bCs/>
          <w:color w:val="0E1020"/>
          <w:sz w:val="20"/>
          <w:szCs w:val="20"/>
        </w:rPr>
        <w:t xml:space="preserve">T3.4: </w:t>
      </w:r>
      <w:r>
        <w:rPr>
          <w:rFonts w:ascii="Arial" w:cs="Arial" w:eastAsia="Arial" w:hAnsi="Arial"/>
          <w:color w:val="0E1020"/>
          <w:sz w:val="20"/>
          <w:szCs w:val="20"/>
        </w:rPr>
        <w:t xml:space="preserve">Build the Triage Decision Summary Card (Component 3C) and integrate into all three workspaces.</w:t>
      </w:r>
    </w:p>
    <w:p>
      <w:pPr>
        <w:pStyle w:val="Heading2"/>
        <w:spacing w:before="280" w:after="160"/>
      </w:pPr>
      <w:r>
        <w:rPr>
          <w:rFonts w:ascii="Arial" w:cs="Arial" w:eastAsia="Arial" w:hAnsi="Arial"/>
          <w:b/>
          <w:bCs/>
          <w:color w:val="004AAC"/>
          <w:sz w:val="26"/>
          <w:szCs w:val="26"/>
        </w:rPr>
        <w:t xml:space="preserve">6.4 Track 4: IDP &amp; Intake</w:t>
      </w:r>
    </w:p>
    <w:p>
      <w:pPr>
        <w:spacing w:after="160"/>
      </w:pPr>
      <w:r>
        <w:rPr>
          <w:rFonts w:ascii="Arial" w:cs="Arial" w:eastAsia="Arial" w:hAnsi="Arial"/>
          <w:color w:val="0E1020"/>
          <w:sz w:val="20"/>
          <w:szCs w:val="20"/>
        </w:rPr>
        <w:t xml:space="preserve">Build the front-end intake and IDP validation components.</w:t>
      </w:r>
    </w:p>
    <w:p>
      <w:pPr>
        <w:pStyle w:val="ListParagraph"/>
        <w:numPr>
          <w:ilvl w:val="0"/>
          <w:numId w:val="2"/>
        </w:numPr>
        <w:spacing w:after="80"/>
      </w:pPr>
      <w:r>
        <w:rPr>
          <w:rFonts w:ascii="Arial" w:cs="Arial" w:eastAsia="Arial" w:hAnsi="Arial"/>
          <w:b/>
          <w:bCs/>
          <w:color w:val="0E1020"/>
          <w:sz w:val="20"/>
          <w:szCs w:val="20"/>
        </w:rPr>
        <w:t xml:space="preserve">T4.1: </w:t>
      </w:r>
      <w:r>
        <w:rPr>
          <w:rFonts w:ascii="Arial" w:cs="Arial" w:eastAsia="Arial" w:hAnsi="Arial"/>
          <w:color w:val="0E1020"/>
          <w:sz w:val="20"/>
          <w:szCs w:val="20"/>
        </w:rPr>
        <w:t xml:space="preserve">Build the Transaction Type Selector (Component 1A) and Document Landing Zone (Component 1B).</w:t>
      </w:r>
    </w:p>
    <w:p>
      <w:pPr>
        <w:pStyle w:val="ListParagraph"/>
        <w:numPr>
          <w:ilvl w:val="0"/>
          <w:numId w:val="2"/>
        </w:numPr>
        <w:spacing w:after="80"/>
      </w:pPr>
      <w:r>
        <w:rPr>
          <w:rFonts w:ascii="Arial" w:cs="Arial" w:eastAsia="Arial" w:hAnsi="Arial"/>
          <w:b/>
          <w:bCs/>
          <w:color w:val="0E1020"/>
          <w:sz w:val="20"/>
          <w:szCs w:val="20"/>
        </w:rPr>
        <w:t xml:space="preserve">T4.2: </w:t>
      </w:r>
      <w:r>
        <w:rPr>
          <w:rFonts w:ascii="Arial" w:cs="Arial" w:eastAsia="Arial" w:hAnsi="Arial"/>
          <w:color w:val="0E1020"/>
          <w:sz w:val="20"/>
          <w:szCs w:val="20"/>
        </w:rPr>
        <w:t xml:space="preserve">Build the IDP Extraction Results Panel (Component 2A) with split-pane document viewer.</w:t>
      </w:r>
    </w:p>
    <w:p>
      <w:pPr>
        <w:pStyle w:val="ListParagraph"/>
        <w:numPr>
          <w:ilvl w:val="0"/>
          <w:numId w:val="2"/>
        </w:numPr>
        <w:spacing w:after="80"/>
      </w:pPr>
      <w:r>
        <w:rPr>
          <w:rFonts w:ascii="Arial" w:cs="Arial" w:eastAsia="Arial" w:hAnsi="Arial"/>
          <w:b/>
          <w:bCs/>
          <w:color w:val="0E1020"/>
          <w:sz w:val="20"/>
          <w:szCs w:val="20"/>
        </w:rPr>
        <w:t xml:space="preserve">T4.3: </w:t>
      </w:r>
      <w:r>
        <w:rPr>
          <w:rFonts w:ascii="Arial" w:cs="Arial" w:eastAsia="Arial" w:hAnsi="Arial"/>
          <w:color w:val="0E1020"/>
          <w:sz w:val="20"/>
          <w:szCs w:val="20"/>
        </w:rPr>
        <w:t xml:space="preserve">Build the Entity Validation Form (Component 2B) with dynamic field layout from Transaction Type Registry.</w:t>
      </w:r>
    </w:p>
    <w:p>
      <w:pPr>
        <w:pStyle w:val="ListParagraph"/>
        <w:numPr>
          <w:ilvl w:val="0"/>
          <w:numId w:val="2"/>
        </w:numPr>
        <w:spacing w:after="80"/>
      </w:pPr>
      <w:r>
        <w:rPr>
          <w:rFonts w:ascii="Arial" w:cs="Arial" w:eastAsia="Arial" w:hAnsi="Arial"/>
          <w:b/>
          <w:bCs/>
          <w:color w:val="0E1020"/>
          <w:sz w:val="20"/>
          <w:szCs w:val="20"/>
        </w:rPr>
        <w:t xml:space="preserve">T4.4: </w:t>
      </w:r>
      <w:r>
        <w:rPr>
          <w:rFonts w:ascii="Arial" w:cs="Arial" w:eastAsia="Arial" w:hAnsi="Arial"/>
          <w:color w:val="0E1020"/>
          <w:sz w:val="20"/>
          <w:szCs w:val="20"/>
        </w:rPr>
        <w:t xml:space="preserve">Build the Good Order Checklist Engine (Component 5A) with configurable checklist items.</w:t>
      </w:r>
    </w:p>
    <w:p>
      <w:pPr>
        <w:pStyle w:val="Heading2"/>
        <w:spacing w:before="280" w:after="160"/>
      </w:pPr>
      <w:r>
        <w:rPr>
          <w:rFonts w:ascii="Arial" w:cs="Arial" w:eastAsia="Arial" w:hAnsi="Arial"/>
          <w:b/>
          <w:bCs/>
          <w:color w:val="004AAC"/>
          <w:sz w:val="26"/>
          <w:szCs w:val="26"/>
        </w:rPr>
        <w:t xml:space="preserve">6.5 Integration &amp; Demo Readiness</w:t>
      </w:r>
    </w:p>
    <w:p>
      <w:pPr>
        <w:pStyle w:val="ListParagraph"/>
        <w:numPr>
          <w:ilvl w:val="0"/>
          <w:numId w:val="2"/>
        </w:numPr>
        <w:spacing w:after="80"/>
      </w:pPr>
      <w:r>
        <w:rPr>
          <w:rFonts w:ascii="Arial" w:cs="Arial" w:eastAsia="Arial" w:hAnsi="Arial"/>
          <w:b/>
          <w:bCs/>
          <w:color w:val="0E1020"/>
          <w:sz w:val="20"/>
          <w:szCs w:val="20"/>
        </w:rPr>
        <w:t xml:space="preserve">I.1: </w:t>
      </w:r>
      <w:r>
        <w:rPr>
          <w:rFonts w:ascii="Arial" w:cs="Arial" w:eastAsia="Arial" w:hAnsi="Arial"/>
          <w:color w:val="0E1020"/>
          <w:sz w:val="20"/>
          <w:szCs w:val="20"/>
        </w:rPr>
        <w:t xml:space="preserve">Wire all tracks together: intake creates case, IDP extracts entities, triage evaluates, workspace displays.</w:t>
      </w:r>
    </w:p>
    <w:p>
      <w:pPr>
        <w:pStyle w:val="ListParagraph"/>
        <w:numPr>
          <w:ilvl w:val="0"/>
          <w:numId w:val="2"/>
        </w:numPr>
        <w:spacing w:after="80"/>
      </w:pPr>
      <w:r>
        <w:rPr>
          <w:rFonts w:ascii="Arial" w:cs="Arial" w:eastAsia="Arial" w:hAnsi="Arial"/>
          <w:b/>
          <w:bCs/>
          <w:color w:val="0E1020"/>
          <w:sz w:val="20"/>
          <w:szCs w:val="20"/>
        </w:rPr>
        <w:t xml:space="preserve">I.2: </w:t>
      </w:r>
      <w:r>
        <w:rPr>
          <w:rFonts w:ascii="Arial" w:cs="Arial" w:eastAsia="Arial" w:hAnsi="Arial"/>
          <w:color w:val="0E1020"/>
          <w:sz w:val="20"/>
          <w:szCs w:val="20"/>
        </w:rPr>
        <w:t xml:space="preserve">Run end-to-end demo scenario: loan request submitted via mail/fax channel, IDP extracts data, triage routes to moderate-touch, processor validates and approves.</w:t>
      </w:r>
    </w:p>
    <w:p>
      <w:pPr>
        <w:pStyle w:val="ListParagraph"/>
        <w:numPr>
          <w:ilvl w:val="0"/>
          <w:numId w:val="2"/>
        </w:numPr>
        <w:spacing w:after="80"/>
      </w:pPr>
      <w:r>
        <w:rPr>
          <w:rFonts w:ascii="Arial" w:cs="Arial" w:eastAsia="Arial" w:hAnsi="Arial"/>
          <w:b/>
          <w:bCs/>
          <w:color w:val="0E1020"/>
          <w:sz w:val="20"/>
          <w:szCs w:val="20"/>
        </w:rPr>
        <w:t xml:space="preserve">I.3: </w:t>
      </w:r>
      <w:r>
        <w:rPr>
          <w:rFonts w:ascii="Arial" w:cs="Arial" w:eastAsia="Arial" w:hAnsi="Arial"/>
          <w:color w:val="0E1020"/>
          <w:sz w:val="20"/>
          <w:szCs w:val="20"/>
        </w:rPr>
        <w:t xml:space="preserve">Run second demo scenario: same framework, withdrawal transaction type, demonstrating configurability by switching the Transaction Type Registry entry.</w:t>
      </w:r>
    </w:p>
    <w:p>
      <w:r>
        <w:br w:type="page"/>
      </w:r>
    </w:p>
    <w:p>
      <w:pPr>
        <w:pStyle w:val="Heading1"/>
        <w:spacing w:before="360" w:after="200"/>
      </w:pPr>
      <w:r>
        <w:rPr>
          <w:rFonts w:ascii="Arial" w:cs="Arial" w:eastAsia="Arial" w:hAnsi="Arial"/>
          <w:b/>
          <w:bCs/>
          <w:color w:val="0E1020"/>
          <w:sz w:val="32"/>
          <w:szCs w:val="32"/>
        </w:rPr>
        <w:t xml:space="preserve">7. Demo Success Criteria</w:t>
      </w:r>
    </w:p>
    <w:p>
      <w:pPr>
        <w:spacing w:after="160"/>
      </w:pPr>
      <w:r>
        <w:rPr>
          <w:rFonts w:ascii="Arial" w:cs="Arial" w:eastAsia="Arial" w:hAnsi="Arial"/>
          <w:color w:val="0E1020"/>
          <w:sz w:val="20"/>
          <w:szCs w:val="20"/>
        </w:rPr>
        <w:t xml:space="preserve">The hackathon output should demonstrate the following capabilities to validate the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CCC7" w:sz="1"/>
              <w:left w:val="single" w:color="D0CCC7" w:sz="1"/>
              <w:bottom w:val="single" w:color="D0CCC7" w:sz="1"/>
              <w:right w:val="single" w:color="D0CCC7" w:sz="1"/>
            </w:tcBorders>
            <w:shd w:fill="004AAC" w:val="clear"/>
            <w:tcMar>
              <w:top w:type="dxa" w:w="80"/>
              <w:left w:type="dxa" w:w="120"/>
              <w:bottom w:type="dxa" w:w="80"/>
              <w:right w:type="dxa" w:w="120"/>
            </w:tcMar>
            <w:vAlign w:val="center"/>
          </w:tcPr>
          <w:p>
            <w:r>
              <w:rPr>
                <w:rFonts w:ascii="Arial" w:cs="Arial" w:eastAsia="Arial" w:hAnsi="Arial"/>
                <w:b/>
                <w:bCs/>
                <w:color w:val="FFFFFF"/>
                <w:sz w:val="20"/>
                <w:szCs w:val="20"/>
              </w:rPr>
              <w:t xml:space="preserve">Criterion</w:t>
            </w:r>
          </w:p>
        </w:tc>
        <w:tc>
          <w:tcPr>
            <w:tcW w:type="dxa" w:w="4680"/>
            <w:tcBorders>
              <w:top w:val="single" w:color="D0CCC7" w:sz="1"/>
              <w:left w:val="single" w:color="D0CCC7" w:sz="1"/>
              <w:bottom w:val="single" w:color="D0CCC7" w:sz="1"/>
              <w:right w:val="single" w:color="D0CCC7" w:sz="1"/>
            </w:tcBorders>
            <w:shd w:fill="004AAC" w:val="clear"/>
            <w:tcMar>
              <w:top w:type="dxa" w:w="80"/>
              <w:left w:type="dxa" w:w="120"/>
              <w:bottom w:type="dxa" w:w="80"/>
              <w:right w:type="dxa" w:w="120"/>
            </w:tcMar>
            <w:vAlign w:val="center"/>
          </w:tcPr>
          <w:p>
            <w:r>
              <w:rPr>
                <w:rFonts w:ascii="Arial" w:cs="Arial" w:eastAsia="Arial" w:hAnsi="Arial"/>
                <w:b/>
                <w:bCs/>
                <w:color w:val="FFFFFF"/>
                <w:sz w:val="20"/>
                <w:szCs w:val="20"/>
              </w:rPr>
              <w:t xml:space="preserve">Evidence</w:t>
            </w:r>
          </w:p>
        </w:tc>
      </w:tr>
      <w:tr>
        <w:tc>
          <w:tcPr>
            <w:tcW w:type="dxa" w:w="468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val="false"/>
                <w:bCs w:val="false"/>
                <w:color w:val="0E1020"/>
                <w:sz w:val="20"/>
                <w:szCs w:val="20"/>
              </w:rPr>
              <w:t xml:space="preserve">IDP extraction produces structured entity data from a loan request form</w:t>
            </w:r>
          </w:p>
        </w:tc>
        <w:tc>
          <w:tcPr>
            <w:tcW w:type="dxa" w:w="468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val="false"/>
                <w:bCs w:val="false"/>
                <w:color w:val="0E1020"/>
                <w:sz w:val="20"/>
                <w:szCs w:val="20"/>
              </w:rPr>
              <w:t xml:space="preserve">Extraction Results Panel displays fields with confidence scores from a sample loan form</w:t>
            </w:r>
          </w:p>
        </w:tc>
      </w:tr>
      <w:tr>
        <w:tc>
          <w:tcPr>
            <w:tcW w:type="dxa" w:w="4680"/>
            <w:tcBorders>
              <w:top w:val="single" w:color="D0CCC7" w:sz="1"/>
              <w:left w:val="single" w:color="D0CCC7" w:sz="1"/>
              <w:bottom w:val="single" w:color="D0CCC7" w:sz="1"/>
              <w:right w:val="single" w:color="D0CCC7" w:sz="1"/>
            </w:tcBorders>
            <w:shd w:fill="F6F3F0" w:val="clear"/>
            <w:tcMar>
              <w:top w:type="dxa" w:w="80"/>
              <w:left w:type="dxa" w:w="120"/>
              <w:bottom w:type="dxa" w:w="80"/>
              <w:right w:type="dxa" w:w="120"/>
            </w:tcMar>
          </w:tcPr>
          <w:p>
            <w:r>
              <w:rPr>
                <w:rFonts w:ascii="Arial" w:cs="Arial" w:eastAsia="Arial" w:hAnsi="Arial"/>
                <w:b w:val="false"/>
                <w:bCs w:val="false"/>
                <w:color w:val="0E1020"/>
                <w:sz w:val="20"/>
                <w:szCs w:val="20"/>
              </w:rPr>
              <w:t xml:space="preserve">Three entity classes converge in the triage UI</w:t>
            </w:r>
          </w:p>
        </w:tc>
        <w:tc>
          <w:tcPr>
            <w:tcW w:type="dxa" w:w="4680"/>
            <w:tcBorders>
              <w:top w:val="single" w:color="D0CCC7" w:sz="1"/>
              <w:left w:val="single" w:color="D0CCC7" w:sz="1"/>
              <w:bottom w:val="single" w:color="D0CCC7" w:sz="1"/>
              <w:right w:val="single" w:color="D0CCC7" w:sz="1"/>
            </w:tcBorders>
            <w:shd w:fill="F6F3F0" w:val="clear"/>
            <w:tcMar>
              <w:top w:type="dxa" w:w="80"/>
              <w:left w:type="dxa" w:w="120"/>
              <w:bottom w:type="dxa" w:w="80"/>
              <w:right w:type="dxa" w:w="120"/>
            </w:tcMar>
          </w:tcPr>
          <w:p>
            <w:r>
              <w:rPr>
                <w:rFonts w:ascii="Arial" w:cs="Arial" w:eastAsia="Arial" w:hAnsi="Arial"/>
                <w:b w:val="false"/>
                <w:bCs w:val="false"/>
                <w:color w:val="0E1020"/>
                <w:sz w:val="20"/>
                <w:szCs w:val="20"/>
              </w:rPr>
              <w:t xml:space="preserve">Decision Table Builder shows IDP, policy, and workflow entities as selectable inputs</w:t>
            </w:r>
          </w:p>
        </w:tc>
      </w:tr>
      <w:tr>
        <w:tc>
          <w:tcPr>
            <w:tcW w:type="dxa" w:w="468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val="false"/>
                <w:bCs w:val="false"/>
                <w:color w:val="0E1020"/>
                <w:sz w:val="20"/>
                <w:szCs w:val="20"/>
              </w:rPr>
              <w:t xml:space="preserve">Decision tables are configurable without code</w:t>
            </w:r>
          </w:p>
        </w:tc>
        <w:tc>
          <w:tcPr>
            <w:tcW w:type="dxa" w:w="468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val="false"/>
                <w:bCs w:val="false"/>
                <w:color w:val="0E1020"/>
                <w:sz w:val="20"/>
                <w:szCs w:val="20"/>
              </w:rPr>
              <w:t xml:space="preserve">Business user modifies a rule in the Decision Table Builder and the change affects triage outcome in real time</w:t>
            </w:r>
          </w:p>
        </w:tc>
      </w:tr>
      <w:tr>
        <w:tc>
          <w:tcPr>
            <w:tcW w:type="dxa" w:w="4680"/>
            <w:tcBorders>
              <w:top w:val="single" w:color="D0CCC7" w:sz="1"/>
              <w:left w:val="single" w:color="D0CCC7" w:sz="1"/>
              <w:bottom w:val="single" w:color="D0CCC7" w:sz="1"/>
              <w:right w:val="single" w:color="D0CCC7" w:sz="1"/>
            </w:tcBorders>
            <w:shd w:fill="F6F3F0" w:val="clear"/>
            <w:tcMar>
              <w:top w:type="dxa" w:w="80"/>
              <w:left w:type="dxa" w:w="120"/>
              <w:bottom w:type="dxa" w:w="80"/>
              <w:right w:type="dxa" w:w="120"/>
            </w:tcMar>
          </w:tcPr>
          <w:p>
            <w:r>
              <w:rPr>
                <w:rFonts w:ascii="Arial" w:cs="Arial" w:eastAsia="Arial" w:hAnsi="Arial"/>
                <w:b w:val="false"/>
                <w:bCs w:val="false"/>
                <w:color w:val="0E1020"/>
                <w:sz w:val="20"/>
                <w:szCs w:val="20"/>
              </w:rPr>
              <w:t xml:space="preserve">Triage correctly routes to touch levels</w:t>
            </w:r>
          </w:p>
        </w:tc>
        <w:tc>
          <w:tcPr>
            <w:tcW w:type="dxa" w:w="4680"/>
            <w:tcBorders>
              <w:top w:val="single" w:color="D0CCC7" w:sz="1"/>
              <w:left w:val="single" w:color="D0CCC7" w:sz="1"/>
              <w:bottom w:val="single" w:color="D0CCC7" w:sz="1"/>
              <w:right w:val="single" w:color="D0CCC7" w:sz="1"/>
            </w:tcBorders>
            <w:shd w:fill="F6F3F0" w:val="clear"/>
            <w:tcMar>
              <w:top w:type="dxa" w:w="80"/>
              <w:left w:type="dxa" w:w="120"/>
              <w:bottom w:type="dxa" w:w="80"/>
              <w:right w:type="dxa" w:w="120"/>
            </w:tcMar>
          </w:tcPr>
          <w:p>
            <w:r>
              <w:rPr>
                <w:rFonts w:ascii="Arial" w:cs="Arial" w:eastAsia="Arial" w:hAnsi="Arial"/>
                <w:b w:val="false"/>
                <w:bCs w:val="false"/>
                <w:color w:val="0E1020"/>
                <w:sz w:val="20"/>
                <w:szCs w:val="20"/>
              </w:rPr>
              <w:t xml:space="preserve">Same form data with different dollar amounts routes to different touch-level workspaces</w:t>
            </w:r>
          </w:p>
        </w:tc>
      </w:tr>
      <w:tr>
        <w:tc>
          <w:tcPr>
            <w:tcW w:type="dxa" w:w="468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val="false"/>
                <w:bCs w:val="false"/>
                <w:color w:val="0E1020"/>
                <w:sz w:val="20"/>
                <w:szCs w:val="20"/>
              </w:rPr>
              <w:t xml:space="preserve">Touch-level workspaces are standardized</w:t>
            </w:r>
          </w:p>
        </w:tc>
        <w:tc>
          <w:tcPr>
            <w:tcW w:type="dxa" w:w="468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val="false"/>
                <w:bCs w:val="false"/>
                <w:color w:val="0E1020"/>
                <w:sz w:val="20"/>
                <w:szCs w:val="20"/>
              </w:rPr>
              <w:t xml:space="preserve">Low, moderate, and high-touch UIs render correctly for both loan and withdrawal transactions</w:t>
            </w:r>
          </w:p>
        </w:tc>
      </w:tr>
      <w:tr>
        <w:tc>
          <w:tcPr>
            <w:tcW w:type="dxa" w:w="4680"/>
            <w:tcBorders>
              <w:top w:val="single" w:color="D0CCC7" w:sz="1"/>
              <w:left w:val="single" w:color="D0CCC7" w:sz="1"/>
              <w:bottom w:val="single" w:color="D0CCC7" w:sz="1"/>
              <w:right w:val="single" w:color="D0CCC7" w:sz="1"/>
            </w:tcBorders>
            <w:shd w:fill="F6F3F0" w:val="clear"/>
            <w:tcMar>
              <w:top w:type="dxa" w:w="80"/>
              <w:left w:type="dxa" w:w="120"/>
              <w:bottom w:type="dxa" w:w="80"/>
              <w:right w:type="dxa" w:w="120"/>
            </w:tcMar>
          </w:tcPr>
          <w:p>
            <w:r>
              <w:rPr>
                <w:rFonts w:ascii="Arial" w:cs="Arial" w:eastAsia="Arial" w:hAnsi="Arial"/>
                <w:b w:val="false"/>
                <w:bCs w:val="false"/>
                <w:color w:val="0E1020"/>
                <w:sz w:val="20"/>
                <w:szCs w:val="20"/>
              </w:rPr>
              <w:t xml:space="preserve">Framework is reusable across transaction types</w:t>
            </w:r>
          </w:p>
        </w:tc>
        <w:tc>
          <w:tcPr>
            <w:tcW w:type="dxa" w:w="4680"/>
            <w:tcBorders>
              <w:top w:val="single" w:color="D0CCC7" w:sz="1"/>
              <w:left w:val="single" w:color="D0CCC7" w:sz="1"/>
              <w:bottom w:val="single" w:color="D0CCC7" w:sz="1"/>
              <w:right w:val="single" w:color="D0CCC7" w:sz="1"/>
            </w:tcBorders>
            <w:shd w:fill="F6F3F0" w:val="clear"/>
            <w:tcMar>
              <w:top w:type="dxa" w:w="80"/>
              <w:left w:type="dxa" w:w="120"/>
              <w:bottom w:type="dxa" w:w="80"/>
              <w:right w:type="dxa" w:w="120"/>
            </w:tcMar>
          </w:tcPr>
          <w:p>
            <w:r>
              <w:rPr>
                <w:rFonts w:ascii="Arial" w:cs="Arial" w:eastAsia="Arial" w:hAnsi="Arial"/>
                <w:b w:val="false"/>
                <w:bCs w:val="false"/>
                <w:color w:val="0E1020"/>
                <w:sz w:val="20"/>
                <w:szCs w:val="20"/>
              </w:rPr>
              <w:t xml:space="preserve">Adding a withdrawal transaction type requires only configuration changes in the Transaction Type Registry</w:t>
            </w:r>
          </w:p>
        </w:tc>
      </w:tr>
    </w:tbl>
    <w:p>
      <w:pPr>
        <w:spacing w:after="120"/>
      </w:pPr>
    </w:p>
    <w:p>
      <w:pPr>
        <w:pStyle w:val="Heading1"/>
        <w:spacing w:before="360" w:after="200"/>
      </w:pPr>
      <w:r>
        <w:rPr>
          <w:rFonts w:ascii="Arial" w:cs="Arial" w:eastAsia="Arial" w:hAnsi="Arial"/>
          <w:b/>
          <w:bCs/>
          <w:color w:val="0E1020"/>
          <w:sz w:val="32"/>
          <w:szCs w:val="32"/>
        </w:rPr>
        <w:t xml:space="preserve">8. Appendix: Component-to-Framework Traceability</w:t>
      </w:r>
    </w:p>
    <w:p>
      <w:pPr>
        <w:spacing w:after="160"/>
      </w:pPr>
      <w:r>
        <w:rPr>
          <w:rFonts w:ascii="Arial" w:cs="Arial" w:eastAsia="Arial" w:hAnsi="Arial"/>
          <w:color w:val="0E1020"/>
          <w:sz w:val="20"/>
          <w:szCs w:val="20"/>
        </w:rPr>
        <w:t xml:space="preserve">The following matrix maps each UI component to its parent framework layer and the entity classes it consumes. This serves as the reference for developers to understand dependencies between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200"/>
        <w:gridCol w:w="1200"/>
        <w:gridCol w:w="1200"/>
        <w:gridCol w:w="1960"/>
      </w:tblGrid>
      <w:tr>
        <w:tc>
          <w:tcPr>
            <w:tcW w:type="dxa" w:w="1600"/>
            <w:tcBorders>
              <w:top w:val="single" w:color="D0CCC7" w:sz="1"/>
              <w:left w:val="single" w:color="D0CCC7" w:sz="1"/>
              <w:bottom w:val="single" w:color="D0CCC7" w:sz="1"/>
              <w:right w:val="single" w:color="D0CCC7" w:sz="1"/>
            </w:tcBorders>
            <w:shd w:fill="004AAC"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2200"/>
            <w:tcBorders>
              <w:top w:val="single" w:color="D0CCC7" w:sz="1"/>
              <w:left w:val="single" w:color="D0CCC7" w:sz="1"/>
              <w:bottom w:val="single" w:color="D0CCC7" w:sz="1"/>
              <w:right w:val="single" w:color="D0CCC7" w:sz="1"/>
            </w:tcBorders>
            <w:shd w:fill="004AAC" w:val="clear"/>
            <w:tcMar>
              <w:top w:type="dxa" w:w="80"/>
              <w:left w:type="dxa" w:w="120"/>
              <w:bottom w:type="dxa" w:w="80"/>
              <w:right w:type="dxa" w:w="120"/>
            </w:tcMar>
            <w:vAlign w:val="center"/>
          </w:tcPr>
          <w:p>
            <w:r>
              <w:rPr>
                <w:rFonts w:ascii="Arial" w:cs="Arial" w:eastAsia="Arial" w:hAnsi="Arial"/>
                <w:b/>
                <w:bCs/>
                <w:color w:val="FFFFFF"/>
                <w:sz w:val="20"/>
                <w:szCs w:val="20"/>
              </w:rPr>
              <w:t xml:space="preserve">Framework Layer</w:t>
            </w:r>
          </w:p>
        </w:tc>
        <w:tc>
          <w:tcPr>
            <w:tcW w:type="dxa" w:w="1200"/>
            <w:tcBorders>
              <w:top w:val="single" w:color="D0CCC7" w:sz="1"/>
              <w:left w:val="single" w:color="D0CCC7" w:sz="1"/>
              <w:bottom w:val="single" w:color="D0CCC7" w:sz="1"/>
              <w:right w:val="single" w:color="D0CCC7" w:sz="1"/>
            </w:tcBorders>
            <w:shd w:fill="004AAC" w:val="clear"/>
            <w:tcMar>
              <w:top w:type="dxa" w:w="80"/>
              <w:left w:type="dxa" w:w="120"/>
              <w:bottom w:type="dxa" w:w="80"/>
              <w:right w:type="dxa" w:w="120"/>
            </w:tcMar>
            <w:vAlign w:val="center"/>
          </w:tcPr>
          <w:p>
            <w:r>
              <w:rPr>
                <w:rFonts w:ascii="Arial" w:cs="Arial" w:eastAsia="Arial" w:hAnsi="Arial"/>
                <w:b/>
                <w:bCs/>
                <w:color w:val="FFFFFF"/>
                <w:sz w:val="20"/>
                <w:szCs w:val="20"/>
              </w:rPr>
              <w:t xml:space="preserve">IDP Entities</w:t>
            </w:r>
          </w:p>
        </w:tc>
        <w:tc>
          <w:tcPr>
            <w:tcW w:type="dxa" w:w="1200"/>
            <w:tcBorders>
              <w:top w:val="single" w:color="D0CCC7" w:sz="1"/>
              <w:left w:val="single" w:color="D0CCC7" w:sz="1"/>
              <w:bottom w:val="single" w:color="D0CCC7" w:sz="1"/>
              <w:right w:val="single" w:color="D0CCC7" w:sz="1"/>
            </w:tcBorders>
            <w:shd w:fill="004AAC" w:val="clear"/>
            <w:tcMar>
              <w:top w:type="dxa" w:w="80"/>
              <w:left w:type="dxa" w:w="120"/>
              <w:bottom w:type="dxa" w:w="80"/>
              <w:right w:type="dxa" w:w="120"/>
            </w:tcMar>
            <w:vAlign w:val="center"/>
          </w:tcPr>
          <w:p>
            <w:r>
              <w:rPr>
                <w:rFonts w:ascii="Arial" w:cs="Arial" w:eastAsia="Arial" w:hAnsi="Arial"/>
                <w:b/>
                <w:bCs/>
                <w:color w:val="FFFFFF"/>
                <w:sz w:val="20"/>
                <w:szCs w:val="20"/>
              </w:rPr>
              <w:t xml:space="preserve">Policy Entities</w:t>
            </w:r>
          </w:p>
        </w:tc>
        <w:tc>
          <w:tcPr>
            <w:tcW w:type="dxa" w:w="1200"/>
            <w:tcBorders>
              <w:top w:val="single" w:color="D0CCC7" w:sz="1"/>
              <w:left w:val="single" w:color="D0CCC7" w:sz="1"/>
              <w:bottom w:val="single" w:color="D0CCC7" w:sz="1"/>
              <w:right w:val="single" w:color="D0CCC7" w:sz="1"/>
            </w:tcBorders>
            <w:shd w:fill="004AAC" w:val="clear"/>
            <w:tcMar>
              <w:top w:type="dxa" w:w="80"/>
              <w:left w:type="dxa" w:w="120"/>
              <w:bottom w:type="dxa" w:w="80"/>
              <w:right w:type="dxa" w:w="120"/>
            </w:tcMar>
            <w:vAlign w:val="center"/>
          </w:tcPr>
          <w:p>
            <w:r>
              <w:rPr>
                <w:rFonts w:ascii="Arial" w:cs="Arial" w:eastAsia="Arial" w:hAnsi="Arial"/>
                <w:b/>
                <w:bCs/>
                <w:color w:val="FFFFFF"/>
                <w:sz w:val="20"/>
                <w:szCs w:val="20"/>
              </w:rPr>
              <w:t xml:space="preserve">Workflow Entities</w:t>
            </w:r>
          </w:p>
        </w:tc>
        <w:tc>
          <w:tcPr>
            <w:tcW w:type="dxa" w:w="1960"/>
            <w:tcBorders>
              <w:top w:val="single" w:color="D0CCC7" w:sz="1"/>
              <w:left w:val="single" w:color="D0CCC7" w:sz="1"/>
              <w:bottom w:val="single" w:color="D0CCC7" w:sz="1"/>
              <w:right w:val="single" w:color="D0CCC7" w:sz="1"/>
            </w:tcBorders>
            <w:shd w:fill="004AAC" w:val="clear"/>
            <w:tcMar>
              <w:top w:type="dxa" w:w="80"/>
              <w:left w:type="dxa" w:w="120"/>
              <w:bottom w:type="dxa" w:w="80"/>
              <w:right w:type="dxa" w:w="120"/>
            </w:tcMar>
            <w:vAlign w:val="center"/>
          </w:tcPr>
          <w:p>
            <w:r>
              <w:rPr>
                <w:rFonts w:ascii="Arial" w:cs="Arial" w:eastAsia="Arial" w:hAnsi="Arial"/>
                <w:b/>
                <w:bCs/>
                <w:color w:val="FFFFFF"/>
                <w:sz w:val="20"/>
                <w:szCs w:val="20"/>
              </w:rPr>
              <w:t xml:space="preserve">Configuration Source</w:t>
            </w:r>
          </w:p>
        </w:tc>
      </w:tr>
      <w:tr>
        <w:tc>
          <w:tcPr>
            <w:tcW w:type="dxa" w:w="160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bCs/>
                <w:color w:val="0E1020"/>
                <w:sz w:val="20"/>
                <w:szCs w:val="20"/>
              </w:rPr>
              <w:t xml:space="preserve">1A: Txn Selector</w:t>
            </w:r>
          </w:p>
        </w:tc>
        <w:tc>
          <w:tcPr>
            <w:tcW w:type="dxa" w:w="220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val="false"/>
                <w:bCs w:val="false"/>
                <w:color w:val="0E1020"/>
                <w:sz w:val="20"/>
                <w:szCs w:val="20"/>
              </w:rPr>
              <w:t xml:space="preserve">Customer Channels</w:t>
            </w:r>
          </w:p>
        </w:tc>
        <w:tc>
          <w:tcPr>
            <w:tcW w:type="dxa" w:w="120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val="false"/>
                <w:bCs w:val="false"/>
                <w:color w:val="0E1020"/>
                <w:sz w:val="20"/>
                <w:szCs w:val="20"/>
              </w:rPr>
              <w:t xml:space="preserve">—</w:t>
            </w:r>
          </w:p>
        </w:tc>
        <w:tc>
          <w:tcPr>
            <w:tcW w:type="dxa" w:w="120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val="false"/>
                <w:bCs w:val="false"/>
                <w:color w:val="0E1020"/>
                <w:sz w:val="20"/>
                <w:szCs w:val="20"/>
              </w:rPr>
              <w:t xml:space="preserve">—</w:t>
            </w:r>
          </w:p>
        </w:tc>
        <w:tc>
          <w:tcPr>
            <w:tcW w:type="dxa" w:w="120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val="false"/>
                <w:bCs w:val="false"/>
                <w:color w:val="0E1020"/>
                <w:sz w:val="20"/>
                <w:szCs w:val="20"/>
              </w:rPr>
              <w:t xml:space="preserve">—</w:t>
            </w:r>
          </w:p>
        </w:tc>
        <w:tc>
          <w:tcPr>
            <w:tcW w:type="dxa" w:w="196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val="false"/>
                <w:bCs w:val="false"/>
                <w:color w:val="0E1020"/>
                <w:sz w:val="20"/>
                <w:szCs w:val="20"/>
              </w:rPr>
              <w:t xml:space="preserve">Txn Type Registry</w:t>
            </w:r>
          </w:p>
        </w:tc>
      </w:tr>
      <w:tr>
        <w:tc>
          <w:tcPr>
            <w:tcW w:type="dxa" w:w="1600"/>
            <w:tcBorders>
              <w:top w:val="single" w:color="D0CCC7" w:sz="1"/>
              <w:left w:val="single" w:color="D0CCC7" w:sz="1"/>
              <w:bottom w:val="single" w:color="D0CCC7" w:sz="1"/>
              <w:right w:val="single" w:color="D0CCC7" w:sz="1"/>
            </w:tcBorders>
            <w:shd w:fill="F6F3F0" w:val="clear"/>
            <w:tcMar>
              <w:top w:type="dxa" w:w="80"/>
              <w:left w:type="dxa" w:w="120"/>
              <w:bottom w:type="dxa" w:w="80"/>
              <w:right w:type="dxa" w:w="120"/>
            </w:tcMar>
          </w:tcPr>
          <w:p>
            <w:r>
              <w:rPr>
                <w:rFonts w:ascii="Arial" w:cs="Arial" w:eastAsia="Arial" w:hAnsi="Arial"/>
                <w:b/>
                <w:bCs/>
                <w:color w:val="0E1020"/>
                <w:sz w:val="20"/>
                <w:szCs w:val="20"/>
              </w:rPr>
              <w:t xml:space="preserve">1B: Doc Landing</w:t>
            </w:r>
          </w:p>
        </w:tc>
        <w:tc>
          <w:tcPr>
            <w:tcW w:type="dxa" w:w="2200"/>
            <w:tcBorders>
              <w:top w:val="single" w:color="D0CCC7" w:sz="1"/>
              <w:left w:val="single" w:color="D0CCC7" w:sz="1"/>
              <w:bottom w:val="single" w:color="D0CCC7" w:sz="1"/>
              <w:right w:val="single" w:color="D0CCC7" w:sz="1"/>
            </w:tcBorders>
            <w:shd w:fill="F6F3F0" w:val="clear"/>
            <w:tcMar>
              <w:top w:type="dxa" w:w="80"/>
              <w:left w:type="dxa" w:w="120"/>
              <w:bottom w:type="dxa" w:w="80"/>
              <w:right w:type="dxa" w:w="120"/>
            </w:tcMar>
          </w:tcPr>
          <w:p>
            <w:r>
              <w:rPr>
                <w:rFonts w:ascii="Arial" w:cs="Arial" w:eastAsia="Arial" w:hAnsi="Arial"/>
                <w:b w:val="false"/>
                <w:bCs w:val="false"/>
                <w:color w:val="0E1020"/>
                <w:sz w:val="20"/>
                <w:szCs w:val="20"/>
              </w:rPr>
              <w:t xml:space="preserve">Smart App (FSO)</w:t>
            </w:r>
          </w:p>
        </w:tc>
        <w:tc>
          <w:tcPr>
            <w:tcW w:type="dxa" w:w="1200"/>
            <w:tcBorders>
              <w:top w:val="single" w:color="D0CCC7" w:sz="1"/>
              <w:left w:val="single" w:color="D0CCC7" w:sz="1"/>
              <w:bottom w:val="single" w:color="D0CCC7" w:sz="1"/>
              <w:right w:val="single" w:color="D0CCC7" w:sz="1"/>
            </w:tcBorders>
            <w:shd w:fill="F6F3F0" w:val="clear"/>
            <w:tcMar>
              <w:top w:type="dxa" w:w="80"/>
              <w:left w:type="dxa" w:w="120"/>
              <w:bottom w:type="dxa" w:w="80"/>
              <w:right w:type="dxa" w:w="120"/>
            </w:tcMar>
          </w:tcPr>
          <w:p>
            <w:r>
              <w:rPr>
                <w:rFonts w:ascii="Arial" w:cs="Arial" w:eastAsia="Arial" w:hAnsi="Arial"/>
                <w:b w:val="false"/>
                <w:bCs w:val="false"/>
                <w:color w:val="0E1020"/>
                <w:sz w:val="20"/>
                <w:szCs w:val="20"/>
              </w:rPr>
              <w:t xml:space="preserve">—</w:t>
            </w:r>
          </w:p>
        </w:tc>
        <w:tc>
          <w:tcPr>
            <w:tcW w:type="dxa" w:w="1200"/>
            <w:tcBorders>
              <w:top w:val="single" w:color="D0CCC7" w:sz="1"/>
              <w:left w:val="single" w:color="D0CCC7" w:sz="1"/>
              <w:bottom w:val="single" w:color="D0CCC7" w:sz="1"/>
              <w:right w:val="single" w:color="D0CCC7" w:sz="1"/>
            </w:tcBorders>
            <w:shd w:fill="F6F3F0" w:val="clear"/>
            <w:tcMar>
              <w:top w:type="dxa" w:w="80"/>
              <w:left w:type="dxa" w:w="120"/>
              <w:bottom w:type="dxa" w:w="80"/>
              <w:right w:type="dxa" w:w="120"/>
            </w:tcMar>
          </w:tcPr>
          <w:p>
            <w:r>
              <w:rPr>
                <w:rFonts w:ascii="Arial" w:cs="Arial" w:eastAsia="Arial" w:hAnsi="Arial"/>
                <w:b w:val="false"/>
                <w:bCs w:val="false"/>
                <w:color w:val="0E1020"/>
                <w:sz w:val="20"/>
                <w:szCs w:val="20"/>
              </w:rPr>
              <w:t xml:space="preserve">—</w:t>
            </w:r>
          </w:p>
        </w:tc>
        <w:tc>
          <w:tcPr>
            <w:tcW w:type="dxa" w:w="1200"/>
            <w:tcBorders>
              <w:top w:val="single" w:color="D0CCC7" w:sz="1"/>
              <w:left w:val="single" w:color="D0CCC7" w:sz="1"/>
              <w:bottom w:val="single" w:color="D0CCC7" w:sz="1"/>
              <w:right w:val="single" w:color="D0CCC7" w:sz="1"/>
            </w:tcBorders>
            <w:shd w:fill="F6F3F0" w:val="clear"/>
            <w:tcMar>
              <w:top w:type="dxa" w:w="80"/>
              <w:left w:type="dxa" w:w="120"/>
              <w:bottom w:type="dxa" w:w="80"/>
              <w:right w:type="dxa" w:w="120"/>
            </w:tcMar>
          </w:tcPr>
          <w:p>
            <w:r>
              <w:rPr>
                <w:rFonts w:ascii="Arial" w:cs="Arial" w:eastAsia="Arial" w:hAnsi="Arial"/>
                <w:b w:val="false"/>
                <w:bCs w:val="false"/>
                <w:color w:val="0E1020"/>
                <w:sz w:val="20"/>
                <w:szCs w:val="20"/>
              </w:rPr>
              <w:t xml:space="preserve">Write</w:t>
            </w:r>
          </w:p>
        </w:tc>
        <w:tc>
          <w:tcPr>
            <w:tcW w:type="dxa" w:w="1960"/>
            <w:tcBorders>
              <w:top w:val="single" w:color="D0CCC7" w:sz="1"/>
              <w:left w:val="single" w:color="D0CCC7" w:sz="1"/>
              <w:bottom w:val="single" w:color="D0CCC7" w:sz="1"/>
              <w:right w:val="single" w:color="D0CCC7" w:sz="1"/>
            </w:tcBorders>
            <w:shd w:fill="F6F3F0" w:val="clear"/>
            <w:tcMar>
              <w:top w:type="dxa" w:w="80"/>
              <w:left w:type="dxa" w:w="120"/>
              <w:bottom w:type="dxa" w:w="80"/>
              <w:right w:type="dxa" w:w="120"/>
            </w:tcMar>
          </w:tcPr>
          <w:p>
            <w:r>
              <w:rPr>
                <w:rFonts w:ascii="Arial" w:cs="Arial" w:eastAsia="Arial" w:hAnsi="Arial"/>
                <w:b w:val="false"/>
                <w:bCs w:val="false"/>
                <w:color w:val="0E1020"/>
                <w:sz w:val="20"/>
                <w:szCs w:val="20"/>
              </w:rPr>
              <w:t xml:space="preserve">IDP Template Map</w:t>
            </w:r>
          </w:p>
        </w:tc>
      </w:tr>
      <w:tr>
        <w:tc>
          <w:tcPr>
            <w:tcW w:type="dxa" w:w="160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bCs/>
                <w:color w:val="0E1020"/>
                <w:sz w:val="20"/>
                <w:szCs w:val="20"/>
              </w:rPr>
              <w:t xml:space="preserve">2A: Extraction Panel</w:t>
            </w:r>
          </w:p>
        </w:tc>
        <w:tc>
          <w:tcPr>
            <w:tcW w:type="dxa" w:w="220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val="false"/>
                <w:bCs w:val="false"/>
                <w:color w:val="0E1020"/>
                <w:sz w:val="20"/>
                <w:szCs w:val="20"/>
              </w:rPr>
              <w:t xml:space="preserve">Assure Services</w:t>
            </w:r>
          </w:p>
        </w:tc>
        <w:tc>
          <w:tcPr>
            <w:tcW w:type="dxa" w:w="120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val="false"/>
                <w:bCs w:val="false"/>
                <w:color w:val="0E1020"/>
                <w:sz w:val="20"/>
                <w:szCs w:val="20"/>
              </w:rPr>
              <w:t xml:space="preserve">Read</w:t>
            </w:r>
          </w:p>
        </w:tc>
        <w:tc>
          <w:tcPr>
            <w:tcW w:type="dxa" w:w="120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val="false"/>
                <w:bCs w:val="false"/>
                <w:color w:val="0E1020"/>
                <w:sz w:val="20"/>
                <w:szCs w:val="20"/>
              </w:rPr>
              <w:t xml:space="preserve">—</w:t>
            </w:r>
          </w:p>
        </w:tc>
        <w:tc>
          <w:tcPr>
            <w:tcW w:type="dxa" w:w="120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val="false"/>
                <w:bCs w:val="false"/>
                <w:color w:val="0E1020"/>
                <w:sz w:val="20"/>
                <w:szCs w:val="20"/>
              </w:rPr>
              <w:t xml:space="preserve">Write</w:t>
            </w:r>
          </w:p>
        </w:tc>
        <w:tc>
          <w:tcPr>
            <w:tcW w:type="dxa" w:w="196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val="false"/>
                <w:bCs w:val="false"/>
                <w:color w:val="0E1020"/>
                <w:sz w:val="20"/>
                <w:szCs w:val="20"/>
              </w:rPr>
              <w:t xml:space="preserve">Confidence Thresholds</w:t>
            </w:r>
          </w:p>
        </w:tc>
      </w:tr>
      <w:tr>
        <w:tc>
          <w:tcPr>
            <w:tcW w:type="dxa" w:w="1600"/>
            <w:tcBorders>
              <w:top w:val="single" w:color="D0CCC7" w:sz="1"/>
              <w:left w:val="single" w:color="D0CCC7" w:sz="1"/>
              <w:bottom w:val="single" w:color="D0CCC7" w:sz="1"/>
              <w:right w:val="single" w:color="D0CCC7" w:sz="1"/>
            </w:tcBorders>
            <w:shd w:fill="F6F3F0" w:val="clear"/>
            <w:tcMar>
              <w:top w:type="dxa" w:w="80"/>
              <w:left w:type="dxa" w:w="120"/>
              <w:bottom w:type="dxa" w:w="80"/>
              <w:right w:type="dxa" w:w="120"/>
            </w:tcMar>
          </w:tcPr>
          <w:p>
            <w:r>
              <w:rPr>
                <w:rFonts w:ascii="Arial" w:cs="Arial" w:eastAsia="Arial" w:hAnsi="Arial"/>
                <w:b/>
                <w:bCs/>
                <w:color w:val="0E1020"/>
                <w:sz w:val="20"/>
                <w:szCs w:val="20"/>
              </w:rPr>
              <w:t xml:space="preserve">2B: Validation Form</w:t>
            </w:r>
          </w:p>
        </w:tc>
        <w:tc>
          <w:tcPr>
            <w:tcW w:type="dxa" w:w="2200"/>
            <w:tcBorders>
              <w:top w:val="single" w:color="D0CCC7" w:sz="1"/>
              <w:left w:val="single" w:color="D0CCC7" w:sz="1"/>
              <w:bottom w:val="single" w:color="D0CCC7" w:sz="1"/>
              <w:right w:val="single" w:color="D0CCC7" w:sz="1"/>
            </w:tcBorders>
            <w:shd w:fill="F6F3F0" w:val="clear"/>
            <w:tcMar>
              <w:top w:type="dxa" w:w="80"/>
              <w:left w:type="dxa" w:w="120"/>
              <w:bottom w:type="dxa" w:w="80"/>
              <w:right w:type="dxa" w:w="120"/>
            </w:tcMar>
          </w:tcPr>
          <w:p>
            <w:r>
              <w:rPr>
                <w:rFonts w:ascii="Arial" w:cs="Arial" w:eastAsia="Arial" w:hAnsi="Arial"/>
                <w:b w:val="false"/>
                <w:bCs w:val="false"/>
                <w:color w:val="0E1020"/>
                <w:sz w:val="20"/>
                <w:szCs w:val="20"/>
              </w:rPr>
              <w:t xml:space="preserve">Assure Services</w:t>
            </w:r>
          </w:p>
        </w:tc>
        <w:tc>
          <w:tcPr>
            <w:tcW w:type="dxa" w:w="1200"/>
            <w:tcBorders>
              <w:top w:val="single" w:color="D0CCC7" w:sz="1"/>
              <w:left w:val="single" w:color="D0CCC7" w:sz="1"/>
              <w:bottom w:val="single" w:color="D0CCC7" w:sz="1"/>
              <w:right w:val="single" w:color="D0CCC7" w:sz="1"/>
            </w:tcBorders>
            <w:shd w:fill="F6F3F0" w:val="clear"/>
            <w:tcMar>
              <w:top w:type="dxa" w:w="80"/>
              <w:left w:type="dxa" w:w="120"/>
              <w:bottom w:type="dxa" w:w="80"/>
              <w:right w:type="dxa" w:w="120"/>
            </w:tcMar>
          </w:tcPr>
          <w:p>
            <w:r>
              <w:rPr>
                <w:rFonts w:ascii="Arial" w:cs="Arial" w:eastAsia="Arial" w:hAnsi="Arial"/>
                <w:b w:val="false"/>
                <w:bCs w:val="false"/>
                <w:color w:val="0E1020"/>
                <w:sz w:val="20"/>
                <w:szCs w:val="20"/>
              </w:rPr>
              <w:t xml:space="preserve">Read/Write</w:t>
            </w:r>
          </w:p>
        </w:tc>
        <w:tc>
          <w:tcPr>
            <w:tcW w:type="dxa" w:w="1200"/>
            <w:tcBorders>
              <w:top w:val="single" w:color="D0CCC7" w:sz="1"/>
              <w:left w:val="single" w:color="D0CCC7" w:sz="1"/>
              <w:bottom w:val="single" w:color="D0CCC7" w:sz="1"/>
              <w:right w:val="single" w:color="D0CCC7" w:sz="1"/>
            </w:tcBorders>
            <w:shd w:fill="F6F3F0" w:val="clear"/>
            <w:tcMar>
              <w:top w:type="dxa" w:w="80"/>
              <w:left w:type="dxa" w:w="120"/>
              <w:bottom w:type="dxa" w:w="80"/>
              <w:right w:type="dxa" w:w="120"/>
            </w:tcMar>
          </w:tcPr>
          <w:p>
            <w:r>
              <w:rPr>
                <w:rFonts w:ascii="Arial" w:cs="Arial" w:eastAsia="Arial" w:hAnsi="Arial"/>
                <w:b w:val="false"/>
                <w:bCs w:val="false"/>
                <w:color w:val="0E1020"/>
                <w:sz w:val="20"/>
                <w:szCs w:val="20"/>
              </w:rPr>
              <w:t xml:space="preserve">Read</w:t>
            </w:r>
          </w:p>
        </w:tc>
        <w:tc>
          <w:tcPr>
            <w:tcW w:type="dxa" w:w="1200"/>
            <w:tcBorders>
              <w:top w:val="single" w:color="D0CCC7" w:sz="1"/>
              <w:left w:val="single" w:color="D0CCC7" w:sz="1"/>
              <w:bottom w:val="single" w:color="D0CCC7" w:sz="1"/>
              <w:right w:val="single" w:color="D0CCC7" w:sz="1"/>
            </w:tcBorders>
            <w:shd w:fill="F6F3F0" w:val="clear"/>
            <w:tcMar>
              <w:top w:type="dxa" w:w="80"/>
              <w:left w:type="dxa" w:w="120"/>
              <w:bottom w:type="dxa" w:w="80"/>
              <w:right w:type="dxa" w:w="120"/>
            </w:tcMar>
          </w:tcPr>
          <w:p>
            <w:r>
              <w:rPr>
                <w:rFonts w:ascii="Arial" w:cs="Arial" w:eastAsia="Arial" w:hAnsi="Arial"/>
                <w:b w:val="false"/>
                <w:bCs w:val="false"/>
                <w:color w:val="0E1020"/>
                <w:sz w:val="20"/>
                <w:szCs w:val="20"/>
              </w:rPr>
              <w:t xml:space="preserve">Write</w:t>
            </w:r>
          </w:p>
        </w:tc>
        <w:tc>
          <w:tcPr>
            <w:tcW w:type="dxa" w:w="1960"/>
            <w:tcBorders>
              <w:top w:val="single" w:color="D0CCC7" w:sz="1"/>
              <w:left w:val="single" w:color="D0CCC7" w:sz="1"/>
              <w:bottom w:val="single" w:color="D0CCC7" w:sz="1"/>
              <w:right w:val="single" w:color="D0CCC7" w:sz="1"/>
            </w:tcBorders>
            <w:shd w:fill="F6F3F0" w:val="clear"/>
            <w:tcMar>
              <w:top w:type="dxa" w:w="80"/>
              <w:left w:type="dxa" w:w="120"/>
              <w:bottom w:type="dxa" w:w="80"/>
              <w:right w:type="dxa" w:w="120"/>
            </w:tcMar>
          </w:tcPr>
          <w:p>
            <w:r>
              <w:rPr>
                <w:rFonts w:ascii="Arial" w:cs="Arial" w:eastAsia="Arial" w:hAnsi="Arial"/>
                <w:b w:val="false"/>
                <w:bCs w:val="false"/>
                <w:color w:val="0E1020"/>
                <w:sz w:val="20"/>
                <w:szCs w:val="20"/>
              </w:rPr>
              <w:t xml:space="preserve">Form Field Layout</w:t>
            </w:r>
          </w:p>
        </w:tc>
      </w:tr>
      <w:tr>
        <w:tc>
          <w:tcPr>
            <w:tcW w:type="dxa" w:w="160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bCs/>
                <w:color w:val="0E1020"/>
                <w:sz w:val="20"/>
                <w:szCs w:val="20"/>
              </w:rPr>
              <w:t xml:space="preserve">3A: DT Builder</w:t>
            </w:r>
          </w:p>
        </w:tc>
        <w:tc>
          <w:tcPr>
            <w:tcW w:type="dxa" w:w="220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val="false"/>
                <w:bCs w:val="false"/>
                <w:color w:val="0E1020"/>
                <w:sz w:val="20"/>
                <w:szCs w:val="20"/>
              </w:rPr>
              <w:t xml:space="preserve">Rule Engine</w:t>
            </w:r>
          </w:p>
        </w:tc>
        <w:tc>
          <w:tcPr>
            <w:tcW w:type="dxa" w:w="120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val="false"/>
                <w:bCs w:val="false"/>
                <w:color w:val="0E1020"/>
                <w:sz w:val="20"/>
                <w:szCs w:val="20"/>
              </w:rPr>
              <w:t xml:space="preserve">Schema</w:t>
            </w:r>
          </w:p>
        </w:tc>
        <w:tc>
          <w:tcPr>
            <w:tcW w:type="dxa" w:w="120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val="false"/>
                <w:bCs w:val="false"/>
                <w:color w:val="0E1020"/>
                <w:sz w:val="20"/>
                <w:szCs w:val="20"/>
              </w:rPr>
              <w:t xml:space="preserve">Schema</w:t>
            </w:r>
          </w:p>
        </w:tc>
        <w:tc>
          <w:tcPr>
            <w:tcW w:type="dxa" w:w="120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val="false"/>
                <w:bCs w:val="false"/>
                <w:color w:val="0E1020"/>
                <w:sz w:val="20"/>
                <w:szCs w:val="20"/>
              </w:rPr>
              <w:t xml:space="preserve">Schema</w:t>
            </w:r>
          </w:p>
        </w:tc>
        <w:tc>
          <w:tcPr>
            <w:tcW w:type="dxa" w:w="196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val="false"/>
                <w:bCs w:val="false"/>
                <w:color w:val="0E1020"/>
                <w:sz w:val="20"/>
                <w:szCs w:val="20"/>
              </w:rPr>
              <w:t xml:space="preserve">Decision Tables</w:t>
            </w:r>
          </w:p>
        </w:tc>
      </w:tr>
      <w:tr>
        <w:tc>
          <w:tcPr>
            <w:tcW w:type="dxa" w:w="1600"/>
            <w:tcBorders>
              <w:top w:val="single" w:color="D0CCC7" w:sz="1"/>
              <w:left w:val="single" w:color="D0CCC7" w:sz="1"/>
              <w:bottom w:val="single" w:color="D0CCC7" w:sz="1"/>
              <w:right w:val="single" w:color="D0CCC7" w:sz="1"/>
            </w:tcBorders>
            <w:shd w:fill="F6F3F0" w:val="clear"/>
            <w:tcMar>
              <w:top w:type="dxa" w:w="80"/>
              <w:left w:type="dxa" w:w="120"/>
              <w:bottom w:type="dxa" w:w="80"/>
              <w:right w:type="dxa" w:w="120"/>
            </w:tcMar>
          </w:tcPr>
          <w:p>
            <w:r>
              <w:rPr>
                <w:rFonts w:ascii="Arial" w:cs="Arial" w:eastAsia="Arial" w:hAnsi="Arial"/>
                <w:b/>
                <w:bCs/>
                <w:color w:val="0E1020"/>
                <w:sz w:val="20"/>
                <w:szCs w:val="20"/>
              </w:rPr>
              <w:t xml:space="preserve">3B: Triage Engine</w:t>
            </w:r>
          </w:p>
        </w:tc>
        <w:tc>
          <w:tcPr>
            <w:tcW w:type="dxa" w:w="2200"/>
            <w:tcBorders>
              <w:top w:val="single" w:color="D0CCC7" w:sz="1"/>
              <w:left w:val="single" w:color="D0CCC7" w:sz="1"/>
              <w:bottom w:val="single" w:color="D0CCC7" w:sz="1"/>
              <w:right w:val="single" w:color="D0CCC7" w:sz="1"/>
            </w:tcBorders>
            <w:shd w:fill="F6F3F0" w:val="clear"/>
            <w:tcMar>
              <w:top w:type="dxa" w:w="80"/>
              <w:left w:type="dxa" w:w="120"/>
              <w:bottom w:type="dxa" w:w="80"/>
              <w:right w:type="dxa" w:w="120"/>
            </w:tcMar>
          </w:tcPr>
          <w:p>
            <w:r>
              <w:rPr>
                <w:rFonts w:ascii="Arial" w:cs="Arial" w:eastAsia="Arial" w:hAnsi="Arial"/>
                <w:b w:val="false"/>
                <w:bCs w:val="false"/>
                <w:color w:val="0E1020"/>
                <w:sz w:val="20"/>
                <w:szCs w:val="20"/>
              </w:rPr>
              <w:t xml:space="preserve">Rule Engine</w:t>
            </w:r>
          </w:p>
        </w:tc>
        <w:tc>
          <w:tcPr>
            <w:tcW w:type="dxa" w:w="1200"/>
            <w:tcBorders>
              <w:top w:val="single" w:color="D0CCC7" w:sz="1"/>
              <w:left w:val="single" w:color="D0CCC7" w:sz="1"/>
              <w:bottom w:val="single" w:color="D0CCC7" w:sz="1"/>
              <w:right w:val="single" w:color="D0CCC7" w:sz="1"/>
            </w:tcBorders>
            <w:shd w:fill="F6F3F0" w:val="clear"/>
            <w:tcMar>
              <w:top w:type="dxa" w:w="80"/>
              <w:left w:type="dxa" w:w="120"/>
              <w:bottom w:type="dxa" w:w="80"/>
              <w:right w:type="dxa" w:w="120"/>
            </w:tcMar>
          </w:tcPr>
          <w:p>
            <w:r>
              <w:rPr>
                <w:rFonts w:ascii="Arial" w:cs="Arial" w:eastAsia="Arial" w:hAnsi="Arial"/>
                <w:b w:val="false"/>
                <w:bCs w:val="false"/>
                <w:color w:val="0E1020"/>
                <w:sz w:val="20"/>
                <w:szCs w:val="20"/>
              </w:rPr>
              <w:t xml:space="preserve">Read</w:t>
            </w:r>
          </w:p>
        </w:tc>
        <w:tc>
          <w:tcPr>
            <w:tcW w:type="dxa" w:w="1200"/>
            <w:tcBorders>
              <w:top w:val="single" w:color="D0CCC7" w:sz="1"/>
              <w:left w:val="single" w:color="D0CCC7" w:sz="1"/>
              <w:bottom w:val="single" w:color="D0CCC7" w:sz="1"/>
              <w:right w:val="single" w:color="D0CCC7" w:sz="1"/>
            </w:tcBorders>
            <w:shd w:fill="F6F3F0" w:val="clear"/>
            <w:tcMar>
              <w:top w:type="dxa" w:w="80"/>
              <w:left w:type="dxa" w:w="120"/>
              <w:bottom w:type="dxa" w:w="80"/>
              <w:right w:type="dxa" w:w="120"/>
            </w:tcMar>
          </w:tcPr>
          <w:p>
            <w:r>
              <w:rPr>
                <w:rFonts w:ascii="Arial" w:cs="Arial" w:eastAsia="Arial" w:hAnsi="Arial"/>
                <w:b w:val="false"/>
                <w:bCs w:val="false"/>
                <w:color w:val="0E1020"/>
                <w:sz w:val="20"/>
                <w:szCs w:val="20"/>
              </w:rPr>
              <w:t xml:space="preserve">Read</w:t>
            </w:r>
          </w:p>
        </w:tc>
        <w:tc>
          <w:tcPr>
            <w:tcW w:type="dxa" w:w="1200"/>
            <w:tcBorders>
              <w:top w:val="single" w:color="D0CCC7" w:sz="1"/>
              <w:left w:val="single" w:color="D0CCC7" w:sz="1"/>
              <w:bottom w:val="single" w:color="D0CCC7" w:sz="1"/>
              <w:right w:val="single" w:color="D0CCC7" w:sz="1"/>
            </w:tcBorders>
            <w:shd w:fill="F6F3F0" w:val="clear"/>
            <w:tcMar>
              <w:top w:type="dxa" w:w="80"/>
              <w:left w:type="dxa" w:w="120"/>
              <w:bottom w:type="dxa" w:w="80"/>
              <w:right w:type="dxa" w:w="120"/>
            </w:tcMar>
          </w:tcPr>
          <w:p>
            <w:r>
              <w:rPr>
                <w:rFonts w:ascii="Arial" w:cs="Arial" w:eastAsia="Arial" w:hAnsi="Arial"/>
                <w:b w:val="false"/>
                <w:bCs w:val="false"/>
                <w:color w:val="0E1020"/>
                <w:sz w:val="20"/>
                <w:szCs w:val="20"/>
              </w:rPr>
              <w:t xml:space="preserve">Read/Write</w:t>
            </w:r>
          </w:p>
        </w:tc>
        <w:tc>
          <w:tcPr>
            <w:tcW w:type="dxa" w:w="1960"/>
            <w:tcBorders>
              <w:top w:val="single" w:color="D0CCC7" w:sz="1"/>
              <w:left w:val="single" w:color="D0CCC7" w:sz="1"/>
              <w:bottom w:val="single" w:color="D0CCC7" w:sz="1"/>
              <w:right w:val="single" w:color="D0CCC7" w:sz="1"/>
            </w:tcBorders>
            <w:shd w:fill="F6F3F0" w:val="clear"/>
            <w:tcMar>
              <w:top w:type="dxa" w:w="80"/>
              <w:left w:type="dxa" w:w="120"/>
              <w:bottom w:type="dxa" w:w="80"/>
              <w:right w:type="dxa" w:w="120"/>
            </w:tcMar>
          </w:tcPr>
          <w:p>
            <w:r>
              <w:rPr>
                <w:rFonts w:ascii="Arial" w:cs="Arial" w:eastAsia="Arial" w:hAnsi="Arial"/>
                <w:b w:val="false"/>
                <w:bCs w:val="false"/>
                <w:color w:val="0E1020"/>
                <w:sz w:val="20"/>
                <w:szCs w:val="20"/>
              </w:rPr>
              <w:t xml:space="preserve">Decision Tables</w:t>
            </w:r>
          </w:p>
        </w:tc>
      </w:tr>
      <w:tr>
        <w:tc>
          <w:tcPr>
            <w:tcW w:type="dxa" w:w="160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bCs/>
                <w:color w:val="0E1020"/>
                <w:sz w:val="20"/>
                <w:szCs w:val="20"/>
              </w:rPr>
              <w:t xml:space="preserve">3C: Triage Card</w:t>
            </w:r>
          </w:p>
        </w:tc>
        <w:tc>
          <w:tcPr>
            <w:tcW w:type="dxa" w:w="220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val="false"/>
                <w:bCs w:val="false"/>
                <w:color w:val="0E1020"/>
                <w:sz w:val="20"/>
                <w:szCs w:val="20"/>
              </w:rPr>
              <w:t xml:space="preserve">Rule Engine</w:t>
            </w:r>
          </w:p>
        </w:tc>
        <w:tc>
          <w:tcPr>
            <w:tcW w:type="dxa" w:w="120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val="false"/>
                <w:bCs w:val="false"/>
                <w:color w:val="0E1020"/>
                <w:sz w:val="20"/>
                <w:szCs w:val="20"/>
              </w:rPr>
              <w:t xml:space="preserve">—</w:t>
            </w:r>
          </w:p>
        </w:tc>
        <w:tc>
          <w:tcPr>
            <w:tcW w:type="dxa" w:w="120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val="false"/>
                <w:bCs w:val="false"/>
                <w:color w:val="0E1020"/>
                <w:sz w:val="20"/>
                <w:szCs w:val="20"/>
              </w:rPr>
              <w:t xml:space="preserve">—</w:t>
            </w:r>
          </w:p>
        </w:tc>
        <w:tc>
          <w:tcPr>
            <w:tcW w:type="dxa" w:w="120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val="false"/>
                <w:bCs w:val="false"/>
                <w:color w:val="0E1020"/>
                <w:sz w:val="20"/>
                <w:szCs w:val="20"/>
              </w:rPr>
              <w:t xml:space="preserve">Read</w:t>
            </w:r>
          </w:p>
        </w:tc>
        <w:tc>
          <w:tcPr>
            <w:tcW w:type="dxa" w:w="196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val="false"/>
                <w:bCs w:val="false"/>
                <w:color w:val="0E1020"/>
                <w:sz w:val="20"/>
                <w:szCs w:val="20"/>
              </w:rPr>
              <w:t xml:space="preserve">—</w:t>
            </w:r>
          </w:p>
        </w:tc>
      </w:tr>
      <w:tr>
        <w:tc>
          <w:tcPr>
            <w:tcW w:type="dxa" w:w="1600"/>
            <w:tcBorders>
              <w:top w:val="single" w:color="D0CCC7" w:sz="1"/>
              <w:left w:val="single" w:color="D0CCC7" w:sz="1"/>
              <w:bottom w:val="single" w:color="D0CCC7" w:sz="1"/>
              <w:right w:val="single" w:color="D0CCC7" w:sz="1"/>
            </w:tcBorders>
            <w:shd w:fill="F6F3F0" w:val="clear"/>
            <w:tcMar>
              <w:top w:type="dxa" w:w="80"/>
              <w:left w:type="dxa" w:w="120"/>
              <w:bottom w:type="dxa" w:w="80"/>
              <w:right w:type="dxa" w:w="120"/>
            </w:tcMar>
          </w:tcPr>
          <w:p>
            <w:r>
              <w:rPr>
                <w:rFonts w:ascii="Arial" w:cs="Arial" w:eastAsia="Arial" w:hAnsi="Arial"/>
                <w:b/>
                <w:bCs/>
                <w:color w:val="0E1020"/>
                <w:sz w:val="20"/>
                <w:szCs w:val="20"/>
              </w:rPr>
              <w:t xml:space="preserve">4A: Low Touch</w:t>
            </w:r>
          </w:p>
        </w:tc>
        <w:tc>
          <w:tcPr>
            <w:tcW w:type="dxa" w:w="2200"/>
            <w:tcBorders>
              <w:top w:val="single" w:color="D0CCC7" w:sz="1"/>
              <w:left w:val="single" w:color="D0CCC7" w:sz="1"/>
              <w:bottom w:val="single" w:color="D0CCC7" w:sz="1"/>
              <w:right w:val="single" w:color="D0CCC7" w:sz="1"/>
            </w:tcBorders>
            <w:shd w:fill="F6F3F0" w:val="clear"/>
            <w:tcMar>
              <w:top w:type="dxa" w:w="80"/>
              <w:left w:type="dxa" w:w="120"/>
              <w:bottom w:type="dxa" w:w="80"/>
              <w:right w:type="dxa" w:w="120"/>
            </w:tcMar>
          </w:tcPr>
          <w:p>
            <w:r>
              <w:rPr>
                <w:rFonts w:ascii="Arial" w:cs="Arial" w:eastAsia="Arial" w:hAnsi="Arial"/>
                <w:b w:val="false"/>
                <w:bCs w:val="false"/>
                <w:color w:val="0E1020"/>
                <w:sz w:val="20"/>
                <w:szCs w:val="20"/>
              </w:rPr>
              <w:t xml:space="preserve">Processing</w:t>
            </w:r>
          </w:p>
        </w:tc>
        <w:tc>
          <w:tcPr>
            <w:tcW w:type="dxa" w:w="1200"/>
            <w:tcBorders>
              <w:top w:val="single" w:color="D0CCC7" w:sz="1"/>
              <w:left w:val="single" w:color="D0CCC7" w:sz="1"/>
              <w:bottom w:val="single" w:color="D0CCC7" w:sz="1"/>
              <w:right w:val="single" w:color="D0CCC7" w:sz="1"/>
            </w:tcBorders>
            <w:shd w:fill="F6F3F0" w:val="clear"/>
            <w:tcMar>
              <w:top w:type="dxa" w:w="80"/>
              <w:left w:type="dxa" w:w="120"/>
              <w:bottom w:type="dxa" w:w="80"/>
              <w:right w:type="dxa" w:w="120"/>
            </w:tcMar>
          </w:tcPr>
          <w:p>
            <w:r>
              <w:rPr>
                <w:rFonts w:ascii="Arial" w:cs="Arial" w:eastAsia="Arial" w:hAnsi="Arial"/>
                <w:b w:val="false"/>
                <w:bCs w:val="false"/>
                <w:color w:val="0E1020"/>
                <w:sz w:val="20"/>
                <w:szCs w:val="20"/>
              </w:rPr>
              <w:t xml:space="preserve">Read</w:t>
            </w:r>
          </w:p>
        </w:tc>
        <w:tc>
          <w:tcPr>
            <w:tcW w:type="dxa" w:w="1200"/>
            <w:tcBorders>
              <w:top w:val="single" w:color="D0CCC7" w:sz="1"/>
              <w:left w:val="single" w:color="D0CCC7" w:sz="1"/>
              <w:bottom w:val="single" w:color="D0CCC7" w:sz="1"/>
              <w:right w:val="single" w:color="D0CCC7" w:sz="1"/>
            </w:tcBorders>
            <w:shd w:fill="F6F3F0" w:val="clear"/>
            <w:tcMar>
              <w:top w:type="dxa" w:w="80"/>
              <w:left w:type="dxa" w:w="120"/>
              <w:bottom w:type="dxa" w:w="80"/>
              <w:right w:type="dxa" w:w="120"/>
            </w:tcMar>
          </w:tcPr>
          <w:p>
            <w:r>
              <w:rPr>
                <w:rFonts w:ascii="Arial" w:cs="Arial" w:eastAsia="Arial" w:hAnsi="Arial"/>
                <w:b w:val="false"/>
                <w:bCs w:val="false"/>
                <w:color w:val="0E1020"/>
                <w:sz w:val="20"/>
                <w:szCs w:val="20"/>
              </w:rPr>
              <w:t xml:space="preserve">Read</w:t>
            </w:r>
          </w:p>
        </w:tc>
        <w:tc>
          <w:tcPr>
            <w:tcW w:type="dxa" w:w="1200"/>
            <w:tcBorders>
              <w:top w:val="single" w:color="D0CCC7" w:sz="1"/>
              <w:left w:val="single" w:color="D0CCC7" w:sz="1"/>
              <w:bottom w:val="single" w:color="D0CCC7" w:sz="1"/>
              <w:right w:val="single" w:color="D0CCC7" w:sz="1"/>
            </w:tcBorders>
            <w:shd w:fill="F6F3F0" w:val="clear"/>
            <w:tcMar>
              <w:top w:type="dxa" w:w="80"/>
              <w:left w:type="dxa" w:w="120"/>
              <w:bottom w:type="dxa" w:w="80"/>
              <w:right w:type="dxa" w:w="120"/>
            </w:tcMar>
          </w:tcPr>
          <w:p>
            <w:r>
              <w:rPr>
                <w:rFonts w:ascii="Arial" w:cs="Arial" w:eastAsia="Arial" w:hAnsi="Arial"/>
                <w:b w:val="false"/>
                <w:bCs w:val="false"/>
                <w:color w:val="0E1020"/>
                <w:sz w:val="20"/>
                <w:szCs w:val="20"/>
              </w:rPr>
              <w:t xml:space="preserve">Read/Write</w:t>
            </w:r>
          </w:p>
        </w:tc>
        <w:tc>
          <w:tcPr>
            <w:tcW w:type="dxa" w:w="1960"/>
            <w:tcBorders>
              <w:top w:val="single" w:color="D0CCC7" w:sz="1"/>
              <w:left w:val="single" w:color="D0CCC7" w:sz="1"/>
              <w:bottom w:val="single" w:color="D0CCC7" w:sz="1"/>
              <w:right w:val="single" w:color="D0CCC7" w:sz="1"/>
            </w:tcBorders>
            <w:shd w:fill="F6F3F0" w:val="clear"/>
            <w:tcMar>
              <w:top w:type="dxa" w:w="80"/>
              <w:left w:type="dxa" w:w="120"/>
              <w:bottom w:type="dxa" w:w="80"/>
              <w:right w:type="dxa" w:w="120"/>
            </w:tcMar>
          </w:tcPr>
          <w:p>
            <w:r>
              <w:rPr>
                <w:rFonts w:ascii="Arial" w:cs="Arial" w:eastAsia="Arial" w:hAnsi="Arial"/>
                <w:b w:val="false"/>
                <w:bCs w:val="false"/>
                <w:color w:val="0E1020"/>
                <w:sz w:val="20"/>
                <w:szCs w:val="20"/>
              </w:rPr>
              <w:t xml:space="preserve">Form Field Layout</w:t>
            </w:r>
          </w:p>
        </w:tc>
      </w:tr>
      <w:tr>
        <w:tc>
          <w:tcPr>
            <w:tcW w:type="dxa" w:w="160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bCs/>
                <w:color w:val="0E1020"/>
                <w:sz w:val="20"/>
                <w:szCs w:val="20"/>
              </w:rPr>
              <w:t xml:space="preserve">4B: Moderate Touch</w:t>
            </w:r>
          </w:p>
        </w:tc>
        <w:tc>
          <w:tcPr>
            <w:tcW w:type="dxa" w:w="220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val="false"/>
                <w:bCs w:val="false"/>
                <w:color w:val="0E1020"/>
                <w:sz w:val="20"/>
                <w:szCs w:val="20"/>
              </w:rPr>
              <w:t xml:space="preserve">Processing</w:t>
            </w:r>
          </w:p>
        </w:tc>
        <w:tc>
          <w:tcPr>
            <w:tcW w:type="dxa" w:w="120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val="false"/>
                <w:bCs w:val="false"/>
                <w:color w:val="0E1020"/>
                <w:sz w:val="20"/>
                <w:szCs w:val="20"/>
              </w:rPr>
              <w:t xml:space="preserve">Read</w:t>
            </w:r>
          </w:p>
        </w:tc>
        <w:tc>
          <w:tcPr>
            <w:tcW w:type="dxa" w:w="120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val="false"/>
                <w:bCs w:val="false"/>
                <w:color w:val="0E1020"/>
                <w:sz w:val="20"/>
                <w:szCs w:val="20"/>
              </w:rPr>
              <w:t xml:space="preserve">Read</w:t>
            </w:r>
          </w:p>
        </w:tc>
        <w:tc>
          <w:tcPr>
            <w:tcW w:type="dxa" w:w="120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val="false"/>
                <w:bCs w:val="false"/>
                <w:color w:val="0E1020"/>
                <w:sz w:val="20"/>
                <w:szCs w:val="20"/>
              </w:rPr>
              <w:t xml:space="preserve">Read/Write</w:t>
            </w:r>
          </w:p>
        </w:tc>
        <w:tc>
          <w:tcPr>
            <w:tcW w:type="dxa" w:w="196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val="false"/>
                <w:bCs w:val="false"/>
                <w:color w:val="0E1020"/>
                <w:sz w:val="20"/>
                <w:szCs w:val="20"/>
              </w:rPr>
              <w:t xml:space="preserve">Form + Flagged Rules</w:t>
            </w:r>
          </w:p>
        </w:tc>
      </w:tr>
      <w:tr>
        <w:tc>
          <w:tcPr>
            <w:tcW w:type="dxa" w:w="1600"/>
            <w:tcBorders>
              <w:top w:val="single" w:color="D0CCC7" w:sz="1"/>
              <w:left w:val="single" w:color="D0CCC7" w:sz="1"/>
              <w:bottom w:val="single" w:color="D0CCC7" w:sz="1"/>
              <w:right w:val="single" w:color="D0CCC7" w:sz="1"/>
            </w:tcBorders>
            <w:shd w:fill="F6F3F0" w:val="clear"/>
            <w:tcMar>
              <w:top w:type="dxa" w:w="80"/>
              <w:left w:type="dxa" w:w="120"/>
              <w:bottom w:type="dxa" w:w="80"/>
              <w:right w:type="dxa" w:w="120"/>
            </w:tcMar>
          </w:tcPr>
          <w:p>
            <w:r>
              <w:rPr>
                <w:rFonts w:ascii="Arial" w:cs="Arial" w:eastAsia="Arial" w:hAnsi="Arial"/>
                <w:b/>
                <w:bCs/>
                <w:color w:val="0E1020"/>
                <w:sz w:val="20"/>
                <w:szCs w:val="20"/>
              </w:rPr>
              <w:t xml:space="preserve">4C: High Touch</w:t>
            </w:r>
          </w:p>
        </w:tc>
        <w:tc>
          <w:tcPr>
            <w:tcW w:type="dxa" w:w="2200"/>
            <w:tcBorders>
              <w:top w:val="single" w:color="D0CCC7" w:sz="1"/>
              <w:left w:val="single" w:color="D0CCC7" w:sz="1"/>
              <w:bottom w:val="single" w:color="D0CCC7" w:sz="1"/>
              <w:right w:val="single" w:color="D0CCC7" w:sz="1"/>
            </w:tcBorders>
            <w:shd w:fill="F6F3F0" w:val="clear"/>
            <w:tcMar>
              <w:top w:type="dxa" w:w="80"/>
              <w:left w:type="dxa" w:w="120"/>
              <w:bottom w:type="dxa" w:w="80"/>
              <w:right w:type="dxa" w:w="120"/>
            </w:tcMar>
          </w:tcPr>
          <w:p>
            <w:r>
              <w:rPr>
                <w:rFonts w:ascii="Arial" w:cs="Arial" w:eastAsia="Arial" w:hAnsi="Arial"/>
                <w:b w:val="false"/>
                <w:bCs w:val="false"/>
                <w:color w:val="0E1020"/>
                <w:sz w:val="20"/>
                <w:szCs w:val="20"/>
              </w:rPr>
              <w:t xml:space="preserve">Processing</w:t>
            </w:r>
          </w:p>
        </w:tc>
        <w:tc>
          <w:tcPr>
            <w:tcW w:type="dxa" w:w="1200"/>
            <w:tcBorders>
              <w:top w:val="single" w:color="D0CCC7" w:sz="1"/>
              <w:left w:val="single" w:color="D0CCC7" w:sz="1"/>
              <w:bottom w:val="single" w:color="D0CCC7" w:sz="1"/>
              <w:right w:val="single" w:color="D0CCC7" w:sz="1"/>
            </w:tcBorders>
            <w:shd w:fill="F6F3F0" w:val="clear"/>
            <w:tcMar>
              <w:top w:type="dxa" w:w="80"/>
              <w:left w:type="dxa" w:w="120"/>
              <w:bottom w:type="dxa" w:w="80"/>
              <w:right w:type="dxa" w:w="120"/>
            </w:tcMar>
          </w:tcPr>
          <w:p>
            <w:r>
              <w:rPr>
                <w:rFonts w:ascii="Arial" w:cs="Arial" w:eastAsia="Arial" w:hAnsi="Arial"/>
                <w:b w:val="false"/>
                <w:bCs w:val="false"/>
                <w:color w:val="0E1020"/>
                <w:sz w:val="20"/>
                <w:szCs w:val="20"/>
              </w:rPr>
              <w:t xml:space="preserve">Read</w:t>
            </w:r>
          </w:p>
        </w:tc>
        <w:tc>
          <w:tcPr>
            <w:tcW w:type="dxa" w:w="1200"/>
            <w:tcBorders>
              <w:top w:val="single" w:color="D0CCC7" w:sz="1"/>
              <w:left w:val="single" w:color="D0CCC7" w:sz="1"/>
              <w:bottom w:val="single" w:color="D0CCC7" w:sz="1"/>
              <w:right w:val="single" w:color="D0CCC7" w:sz="1"/>
            </w:tcBorders>
            <w:shd w:fill="F6F3F0" w:val="clear"/>
            <w:tcMar>
              <w:top w:type="dxa" w:w="80"/>
              <w:left w:type="dxa" w:w="120"/>
              <w:bottom w:type="dxa" w:w="80"/>
              <w:right w:type="dxa" w:w="120"/>
            </w:tcMar>
          </w:tcPr>
          <w:p>
            <w:r>
              <w:rPr>
                <w:rFonts w:ascii="Arial" w:cs="Arial" w:eastAsia="Arial" w:hAnsi="Arial"/>
                <w:b w:val="false"/>
                <w:bCs w:val="false"/>
                <w:color w:val="0E1020"/>
                <w:sz w:val="20"/>
                <w:szCs w:val="20"/>
              </w:rPr>
              <w:t xml:space="preserve">Read</w:t>
            </w:r>
          </w:p>
        </w:tc>
        <w:tc>
          <w:tcPr>
            <w:tcW w:type="dxa" w:w="1200"/>
            <w:tcBorders>
              <w:top w:val="single" w:color="D0CCC7" w:sz="1"/>
              <w:left w:val="single" w:color="D0CCC7" w:sz="1"/>
              <w:bottom w:val="single" w:color="D0CCC7" w:sz="1"/>
              <w:right w:val="single" w:color="D0CCC7" w:sz="1"/>
            </w:tcBorders>
            <w:shd w:fill="F6F3F0" w:val="clear"/>
            <w:tcMar>
              <w:top w:type="dxa" w:w="80"/>
              <w:left w:type="dxa" w:w="120"/>
              <w:bottom w:type="dxa" w:w="80"/>
              <w:right w:type="dxa" w:w="120"/>
            </w:tcMar>
          </w:tcPr>
          <w:p>
            <w:r>
              <w:rPr>
                <w:rFonts w:ascii="Arial" w:cs="Arial" w:eastAsia="Arial" w:hAnsi="Arial"/>
                <w:b w:val="false"/>
                <w:bCs w:val="false"/>
                <w:color w:val="0E1020"/>
                <w:sz w:val="20"/>
                <w:szCs w:val="20"/>
              </w:rPr>
              <w:t xml:space="preserve">Read/Write</w:t>
            </w:r>
          </w:p>
        </w:tc>
        <w:tc>
          <w:tcPr>
            <w:tcW w:type="dxa" w:w="1960"/>
            <w:tcBorders>
              <w:top w:val="single" w:color="D0CCC7" w:sz="1"/>
              <w:left w:val="single" w:color="D0CCC7" w:sz="1"/>
              <w:bottom w:val="single" w:color="D0CCC7" w:sz="1"/>
              <w:right w:val="single" w:color="D0CCC7" w:sz="1"/>
            </w:tcBorders>
            <w:shd w:fill="F6F3F0" w:val="clear"/>
            <w:tcMar>
              <w:top w:type="dxa" w:w="80"/>
              <w:left w:type="dxa" w:w="120"/>
              <w:bottom w:type="dxa" w:w="80"/>
              <w:right w:type="dxa" w:w="120"/>
            </w:tcMar>
          </w:tcPr>
          <w:p>
            <w:r>
              <w:rPr>
                <w:rFonts w:ascii="Arial" w:cs="Arial" w:eastAsia="Arial" w:hAnsi="Arial"/>
                <w:b w:val="false"/>
                <w:bCs w:val="false"/>
                <w:color w:val="0E1020"/>
                <w:sz w:val="20"/>
                <w:szCs w:val="20"/>
              </w:rPr>
              <w:t xml:space="preserve">Full Configuration</w:t>
            </w:r>
          </w:p>
        </w:tc>
      </w:tr>
      <w:tr>
        <w:tc>
          <w:tcPr>
            <w:tcW w:type="dxa" w:w="160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bCs/>
                <w:color w:val="0E1020"/>
                <w:sz w:val="20"/>
                <w:szCs w:val="20"/>
              </w:rPr>
              <w:t xml:space="preserve">5A: GOC Engine</w:t>
            </w:r>
          </w:p>
        </w:tc>
        <w:tc>
          <w:tcPr>
            <w:tcW w:type="dxa" w:w="220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val="false"/>
                <w:bCs w:val="false"/>
                <w:color w:val="0E1020"/>
                <w:sz w:val="20"/>
                <w:szCs w:val="20"/>
              </w:rPr>
              <w:t xml:space="preserve">Processing</w:t>
            </w:r>
          </w:p>
        </w:tc>
        <w:tc>
          <w:tcPr>
            <w:tcW w:type="dxa" w:w="120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val="false"/>
                <w:bCs w:val="false"/>
                <w:color w:val="0E1020"/>
                <w:sz w:val="20"/>
                <w:szCs w:val="20"/>
              </w:rPr>
              <w:t xml:space="preserve">Read</w:t>
            </w:r>
          </w:p>
        </w:tc>
        <w:tc>
          <w:tcPr>
            <w:tcW w:type="dxa" w:w="120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val="false"/>
                <w:bCs w:val="false"/>
                <w:color w:val="0E1020"/>
                <w:sz w:val="20"/>
                <w:szCs w:val="20"/>
              </w:rPr>
              <w:t xml:space="preserve">Read</w:t>
            </w:r>
          </w:p>
        </w:tc>
        <w:tc>
          <w:tcPr>
            <w:tcW w:type="dxa" w:w="120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val="false"/>
                <w:bCs w:val="false"/>
                <w:color w:val="0E1020"/>
                <w:sz w:val="20"/>
                <w:szCs w:val="20"/>
              </w:rPr>
              <w:t xml:space="preserve">Write</w:t>
            </w:r>
          </w:p>
        </w:tc>
        <w:tc>
          <w:tcPr>
            <w:tcW w:type="dxa" w:w="196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val="false"/>
                <w:bCs w:val="false"/>
                <w:color w:val="0E1020"/>
                <w:sz w:val="20"/>
                <w:szCs w:val="20"/>
              </w:rPr>
              <w:t xml:space="preserve">Checklist Config</w:t>
            </w:r>
          </w:p>
        </w:tc>
      </w:tr>
      <w:tr>
        <w:tc>
          <w:tcPr>
            <w:tcW w:type="dxa" w:w="1600"/>
            <w:tcBorders>
              <w:top w:val="single" w:color="D0CCC7" w:sz="1"/>
              <w:left w:val="single" w:color="D0CCC7" w:sz="1"/>
              <w:bottom w:val="single" w:color="D0CCC7" w:sz="1"/>
              <w:right w:val="single" w:color="D0CCC7" w:sz="1"/>
            </w:tcBorders>
            <w:shd w:fill="F6F3F0" w:val="clear"/>
            <w:tcMar>
              <w:top w:type="dxa" w:w="80"/>
              <w:left w:type="dxa" w:w="120"/>
              <w:bottom w:type="dxa" w:w="80"/>
              <w:right w:type="dxa" w:w="120"/>
            </w:tcMar>
          </w:tcPr>
          <w:p>
            <w:r>
              <w:rPr>
                <w:rFonts w:ascii="Arial" w:cs="Arial" w:eastAsia="Arial" w:hAnsi="Arial"/>
                <w:b/>
                <w:bCs/>
                <w:color w:val="0E1020"/>
                <w:sz w:val="20"/>
                <w:szCs w:val="20"/>
              </w:rPr>
              <w:t xml:space="preserve">6A: API Submit</w:t>
            </w:r>
          </w:p>
        </w:tc>
        <w:tc>
          <w:tcPr>
            <w:tcW w:type="dxa" w:w="2200"/>
            <w:tcBorders>
              <w:top w:val="single" w:color="D0CCC7" w:sz="1"/>
              <w:left w:val="single" w:color="D0CCC7" w:sz="1"/>
              <w:bottom w:val="single" w:color="D0CCC7" w:sz="1"/>
              <w:right w:val="single" w:color="D0CCC7" w:sz="1"/>
            </w:tcBorders>
            <w:shd w:fill="F6F3F0" w:val="clear"/>
            <w:tcMar>
              <w:top w:type="dxa" w:w="80"/>
              <w:left w:type="dxa" w:w="120"/>
              <w:bottom w:type="dxa" w:w="80"/>
              <w:right w:type="dxa" w:w="120"/>
            </w:tcMar>
          </w:tcPr>
          <w:p>
            <w:r>
              <w:rPr>
                <w:rFonts w:ascii="Arial" w:cs="Arial" w:eastAsia="Arial" w:hAnsi="Arial"/>
                <w:b w:val="false"/>
                <w:bCs w:val="false"/>
                <w:color w:val="0E1020"/>
                <w:sz w:val="20"/>
                <w:szCs w:val="20"/>
              </w:rPr>
              <w:t xml:space="preserve">Admin Integration</w:t>
            </w:r>
          </w:p>
        </w:tc>
        <w:tc>
          <w:tcPr>
            <w:tcW w:type="dxa" w:w="1200"/>
            <w:tcBorders>
              <w:top w:val="single" w:color="D0CCC7" w:sz="1"/>
              <w:left w:val="single" w:color="D0CCC7" w:sz="1"/>
              <w:bottom w:val="single" w:color="D0CCC7" w:sz="1"/>
              <w:right w:val="single" w:color="D0CCC7" w:sz="1"/>
            </w:tcBorders>
            <w:shd w:fill="F6F3F0" w:val="clear"/>
            <w:tcMar>
              <w:top w:type="dxa" w:w="80"/>
              <w:left w:type="dxa" w:w="120"/>
              <w:bottom w:type="dxa" w:w="80"/>
              <w:right w:type="dxa" w:w="120"/>
            </w:tcMar>
          </w:tcPr>
          <w:p>
            <w:r>
              <w:rPr>
                <w:rFonts w:ascii="Arial" w:cs="Arial" w:eastAsia="Arial" w:hAnsi="Arial"/>
                <w:b w:val="false"/>
                <w:bCs w:val="false"/>
                <w:color w:val="0E1020"/>
                <w:sz w:val="20"/>
                <w:szCs w:val="20"/>
              </w:rPr>
              <w:t xml:space="preserve">Read</w:t>
            </w:r>
          </w:p>
        </w:tc>
        <w:tc>
          <w:tcPr>
            <w:tcW w:type="dxa" w:w="1200"/>
            <w:tcBorders>
              <w:top w:val="single" w:color="D0CCC7" w:sz="1"/>
              <w:left w:val="single" w:color="D0CCC7" w:sz="1"/>
              <w:bottom w:val="single" w:color="D0CCC7" w:sz="1"/>
              <w:right w:val="single" w:color="D0CCC7" w:sz="1"/>
            </w:tcBorders>
            <w:shd w:fill="F6F3F0" w:val="clear"/>
            <w:tcMar>
              <w:top w:type="dxa" w:w="80"/>
              <w:left w:type="dxa" w:w="120"/>
              <w:bottom w:type="dxa" w:w="80"/>
              <w:right w:type="dxa" w:w="120"/>
            </w:tcMar>
          </w:tcPr>
          <w:p>
            <w:r>
              <w:rPr>
                <w:rFonts w:ascii="Arial" w:cs="Arial" w:eastAsia="Arial" w:hAnsi="Arial"/>
                <w:b w:val="false"/>
                <w:bCs w:val="false"/>
                <w:color w:val="0E1020"/>
                <w:sz w:val="20"/>
                <w:szCs w:val="20"/>
              </w:rPr>
              <w:t xml:space="preserve">Read</w:t>
            </w:r>
          </w:p>
        </w:tc>
        <w:tc>
          <w:tcPr>
            <w:tcW w:type="dxa" w:w="1200"/>
            <w:tcBorders>
              <w:top w:val="single" w:color="D0CCC7" w:sz="1"/>
              <w:left w:val="single" w:color="D0CCC7" w:sz="1"/>
              <w:bottom w:val="single" w:color="D0CCC7" w:sz="1"/>
              <w:right w:val="single" w:color="D0CCC7" w:sz="1"/>
            </w:tcBorders>
            <w:shd w:fill="F6F3F0" w:val="clear"/>
            <w:tcMar>
              <w:top w:type="dxa" w:w="80"/>
              <w:left w:type="dxa" w:w="120"/>
              <w:bottom w:type="dxa" w:w="80"/>
              <w:right w:type="dxa" w:w="120"/>
            </w:tcMar>
          </w:tcPr>
          <w:p>
            <w:r>
              <w:rPr>
                <w:rFonts w:ascii="Arial" w:cs="Arial" w:eastAsia="Arial" w:hAnsi="Arial"/>
                <w:b w:val="false"/>
                <w:bCs w:val="false"/>
                <w:color w:val="0E1020"/>
                <w:sz w:val="20"/>
                <w:szCs w:val="20"/>
              </w:rPr>
              <w:t xml:space="preserve">Write</w:t>
            </w:r>
          </w:p>
        </w:tc>
        <w:tc>
          <w:tcPr>
            <w:tcW w:type="dxa" w:w="1960"/>
            <w:tcBorders>
              <w:top w:val="single" w:color="D0CCC7" w:sz="1"/>
              <w:left w:val="single" w:color="D0CCC7" w:sz="1"/>
              <w:bottom w:val="single" w:color="D0CCC7" w:sz="1"/>
              <w:right w:val="single" w:color="D0CCC7" w:sz="1"/>
            </w:tcBorders>
            <w:shd w:fill="F6F3F0" w:val="clear"/>
            <w:tcMar>
              <w:top w:type="dxa" w:w="80"/>
              <w:left w:type="dxa" w:w="120"/>
              <w:bottom w:type="dxa" w:w="80"/>
              <w:right w:type="dxa" w:w="120"/>
            </w:tcMar>
          </w:tcPr>
          <w:p>
            <w:r>
              <w:rPr>
                <w:rFonts w:ascii="Arial" w:cs="Arial" w:eastAsia="Arial" w:hAnsi="Arial"/>
                <w:b w:val="false"/>
                <w:bCs w:val="false"/>
                <w:color w:val="0E1020"/>
                <w:sz w:val="20"/>
                <w:szCs w:val="20"/>
              </w:rPr>
              <w:t xml:space="preserve">API Payload Template</w:t>
            </w:r>
          </w:p>
        </w:tc>
      </w:tr>
    </w:tbl>
    <w:p>
      <w:pPr>
        <w:spacing w:after="120"/>
      </w:pPr>
    </w:p>
    <w:p>
      <w:pPr>
        <w:spacing w:after="400"/>
      </w:pPr>
    </w:p>
    <w:p>
      <w:pPr>
        <w:pBdr>
          <w:top w:val="single" w:color="D0CCC7" w:sz="2" w:space="8"/>
        </w:pBdr>
        <w:spacing w:before="200"/>
        <w:jc w:val="center"/>
      </w:pPr>
      <w:r>
        <w:rPr>
          <w:rFonts w:ascii="Arial" w:cs="Arial" w:eastAsia="Arial" w:hAnsi="Arial"/>
          <w:color w:val="999999"/>
          <w:sz w:val="16"/>
          <w:szCs w:val="16"/>
        </w:rPr>
        <w:t xml:space="preserve">© 2026 DXC Technology Company. All rights reserved.  |  DXC Internal</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CCC7" w:sz="2" w:space="4"/>
      </w:pBdr>
      <w:spacing w:before="0"/>
    </w:pPr>
    <w:r>
      <w:rPr>
        <w:rFonts w:ascii="Arial" w:cs="Arial" w:eastAsia="Arial" w:hAnsi="Arial"/>
        <w:color w:val="AAAAAA"/>
        <w:sz w:val="14"/>
        <w:szCs w:val="14"/>
      </w:rPr>
      <w:t xml:space="preserve">DXC Internal  |  Version 1.0  |  February 2026</w:t>
    </w:r>
    <w:r>
      <w:ptab w:alignment="right" w:relativeTo="margin" w:leader="none"/>
    </w:r>
    <w:r>
      <w:rPr>
        <w:rFonts w:ascii="Arial" w:cs="Arial" w:eastAsia="Arial" w:hAnsi="Arial"/>
        <w:color w:val="AAAAAA"/>
        <w:sz w:val="14"/>
        <w:szCs w:val="14"/>
      </w:rPr>
      <w:t xml:space="preserve">Page </w:t>
    </w:r>
    <w:r>
      <w:rPr>
        <w:rFonts w:ascii="Arial" w:cs="Arial" w:eastAsia="Arial" w:hAnsi="Arial"/>
        <w:color w:val="AAAAAA"/>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995FF" w:sz="4" w:space="4"/>
      </w:pBdr>
      <w:spacing w:after="0"/>
    </w:pPr>
    <w:r>
      <w:rPr>
        <w:rFonts w:ascii="Arial" w:cs="Arial" w:eastAsia="Arial" w:hAnsi="Arial"/>
        <w:color w:val="888888"/>
        <w:sz w:val="16"/>
        <w:szCs w:val="16"/>
      </w:rPr>
      <w:t xml:space="preserve">Loan &amp; Withdrawal Smart App  |  Business Requirements Document</w:t>
    </w:r>
    <w:r>
      <w:ptab w:alignment="right" w:relativeTo="margin" w:leader="none"/>
    </w:r>
    <w:r>
      <w:rPr>
        <w:rFonts w:ascii="Arial" w:cs="Arial" w:eastAsia="Arial" w:hAnsi="Arial"/>
        <w:b/>
        <w:bCs/>
        <w:color w:val="004AAC"/>
        <w:sz w:val="16"/>
        <w:szCs w:val="16"/>
      </w:rPr>
      <w:t xml:space="preserve">DXC Technology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0E1020"/>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004AAC"/>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0E102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2026-02-21T23:22:40.846Z</dcterms:created>
  <dcterms:modified xsi:type="dcterms:W3CDTF">2026-02-21T23:22:40.847Z</dcterms:modified>
</cp:coreProperties>
</file>

<file path=docProps/custom.xml><?xml version="1.0" encoding="utf-8"?>
<Properties xmlns="http://schemas.openxmlformats.org/officeDocument/2006/custom-properties" xmlns:vt="http://schemas.openxmlformats.org/officeDocument/2006/docPropsVTypes"/>
</file>