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24"/>
          <w:szCs w:val="24"/>
        </w:rPr>
        <w:t xml:space="preserve">PENGWIN: detección, segmentación de fragmentos y desplazamiento en milímetros de fracturas pélvicas en tomografía computarizada</w:t>
      </w:r>
    </w:p>
    <w:p>
      <w:pPr>
        <w:spacing w:after="0" w:before="0"/>
        <w:jc w:val="center"/>
      </w:pPr>
      <w:r>
        <w:rPr>
          <w:rFonts w:ascii="Arial" w:cs="Arial" w:eastAsia="Arial" w:hAnsi="Arial"/>
          <w:color w:val="000000"/>
          <w:sz w:val="24"/>
          <w:szCs w:val="24"/>
        </w:rPr>
        <w:t xml:space="preserve">Carlos Andrés Orozco Caicedo · José David Mesa Ramírez · Sara Lucía Rojas Mejía · Esteban Cobo Gómez</w:t>
      </w:r>
    </w:p>
    <w:p>
      <w:pPr>
        <w:spacing w:after="0" w:before="0"/>
        <w:jc w:val="center"/>
      </w:pPr>
      <w:r>
        <w:rPr>
          <w:rFonts w:ascii="Arial" w:cs="Arial" w:eastAsia="Arial" w:hAnsi="Arial"/>
          <w:color w:val="000000"/>
          <w:sz w:val="24"/>
          <w:szCs w:val="24"/>
        </w:rPr>
        <w:t xml:space="preserve">Analítica de Datos · Universidad Autónoma de Occidente · 2026</w:t>
      </w:r>
    </w:p>
    <w:p>
      <w:pPr>
        <w:spacing w:after="60" w:before="0"/>
        <w:jc w:val="center"/>
      </w:pPr>
      <w:r>
        <w:rPr>
          <w:rFonts w:ascii="Arial" w:cs="Arial" w:eastAsia="Arial" w:hAnsi="Arial"/>
          <w:color w:val="000000"/>
          <w:sz w:val="24"/>
          <w:szCs w:val="24"/>
        </w:rPr>
        <w:t xml:space="preserve">Repositorio: https://github.com/ShadowBlack33/Proyecto-Analitica-de-Datos</w:t>
      </w:r>
    </w:p>
    <w:p>
      <w:pPr>
        <w:spacing w:after="100" w:before="0"/>
        <w:jc w:val="center"/>
      </w:pPr>
      <w:r>
        <w:rPr>
          <w:rFonts w:ascii="Arial" w:cs="Arial" w:eastAsia="Arial" w:hAnsi="Arial"/>
          <w:i/>
          <w:iCs/>
          <w:color w:val="000000"/>
          <w:sz w:val="24"/>
          <w:szCs w:val="24"/>
        </w:rPr>
        <w:t xml:space="preserve">Uso exclusivamente académico: no es un dispositivo médico ni está validado clínicamente.</w:t>
      </w:r>
    </w:p>
    <w:p>
      <w:pPr>
        <w:pStyle w:val="Heading1"/>
        <w:spacing w:after="80" w:before="140"/>
      </w:pPr>
      <w:r>
        <w:rPr>
          <w:rFonts w:ascii="Arial" w:cs="Arial" w:eastAsia="Arial" w:hAnsi="Arial"/>
          <w:b/>
          <w:bCs/>
          <w:color w:val="000000"/>
          <w:sz w:val="24"/>
          <w:szCs w:val="24"/>
        </w:rPr>
        <w:t xml:space="preserve">Resumen</w:t>
      </w:r>
    </w:p>
    <w:p>
      <w:pPr>
        <w:spacing w:after="100" w:before="0"/>
        <w:jc w:val="both"/>
      </w:pPr>
      <w:r>
        <w:rPr>
          <w:rFonts w:ascii="Arial" w:cs="Arial" w:eastAsia="Arial" w:hAnsi="Arial"/>
          <w:color w:val="000000"/>
          <w:sz w:val="24"/>
          <w:szCs w:val="24"/>
        </w:rPr>
        <w:t xml:space="preserve">Planear la cirugía de una fractura pélvica exige saber, para cada fragmento óseo, de qué hueso proviene, dónde está y cuánto se desplazó. Presentamos un sistema propio que responde estas preguntas sobre tomografías computarizadas (TC) del reto PENGWIN: una red multitarea 2.5D con cabezas de clasificación, detección, segmentación y regresión de distancia, y un post-proceso 3D que mide el desplazamiento en milímetros. En 15 pacientes de prueba alcanza F1 de 0.981, mAP@0.50 de 0.906 y Dice de fragmento de 0.700. La ablación mostró que ni CBAM ni el transfer learning mejoran el Dice; la limitación principal son los fragmentos desplazados que el modelo confunde con fragmentos en contacto.</w:t>
      </w:r>
    </w:p>
    <w:p>
      <w:pPr>
        <w:pStyle w:val="Heading1"/>
        <w:spacing w:after="80" w:before="140"/>
      </w:pPr>
      <w:r>
        <w:rPr>
          <w:rFonts w:ascii="Arial" w:cs="Arial" w:eastAsia="Arial" w:hAnsi="Arial"/>
          <w:b/>
          <w:bCs/>
          <w:color w:val="000000"/>
          <w:sz w:val="24"/>
          <w:szCs w:val="24"/>
        </w:rPr>
        <w:t xml:space="preserve">1. Introducción</w:t>
      </w:r>
    </w:p>
    <w:p>
      <w:pPr>
        <w:spacing w:after="100" w:before="0"/>
        <w:jc w:val="both"/>
      </w:pPr>
      <w:r>
        <w:rPr>
          <w:rFonts w:ascii="Arial" w:cs="Arial" w:eastAsia="Arial" w:hAnsi="Arial"/>
          <w:color w:val="000000"/>
          <w:sz w:val="24"/>
          <w:szCs w:val="24"/>
        </w:rPr>
        <w:t xml:space="preserve">En la planeación de la reducción de una fractura pélvica hay que identificar cada fragmento, asignarlo al sacro o a uno de los coxales y estimar su separación del hueso de origen, algo que hoy depende de la lectura experta de la TC. Nuestro objetivo es automatizarlo: detectar cada región ósea en cada corte, segmentar y clasificar sus fragmentos, medir en milímetros la distancia de cada fragmento conminuto al fragmento principal y mostrarlo en un tablero interactivo. Por requisito del curso no se usaron YOLO, Detectron2 ni Mask R-CNN preentrenado: la red, la supresión de no máximos (NMS), el post-proceso y las métricas son propios, y se consultaron publicaciones como FCOS [4] solo para entender el principio anchor-free.</w:t>
      </w:r>
    </w:p>
    <w:p>
      <w:pPr>
        <w:pStyle w:val="Heading1"/>
        <w:spacing w:after="80" w:before="140"/>
      </w:pPr>
      <w:r>
        <w:rPr>
          <w:rFonts w:ascii="Arial" w:cs="Arial" w:eastAsia="Arial" w:hAnsi="Arial"/>
          <w:b/>
          <w:bCs/>
          <w:color w:val="000000"/>
          <w:sz w:val="24"/>
          <w:szCs w:val="24"/>
        </w:rPr>
        <w:t xml:space="preserve">2. Datos</w:t>
      </w:r>
    </w:p>
    <w:p>
      <w:pPr>
        <w:spacing w:after="100" w:before="0"/>
        <w:jc w:val="both"/>
      </w:pPr>
      <w:r>
        <w:rPr>
          <w:rFonts w:ascii="Arial" w:cs="Arial" w:eastAsia="Arial" w:hAnsi="Arial"/>
          <w:color w:val="000000"/>
          <w:sz w:val="24"/>
          <w:szCs w:val="24"/>
        </w:rPr>
        <w:t xml:space="preserve">Usamos la tarea 1 (TC) del reto PENGWIN, MICCAI 2024 [1], [2]: 100 TC con máscaras de fragmentos validadas por ortopedistas, en tres regiones (sacro, coxal izquierdo y coxal derecho) de hasta 10 fragmentos cada una. La partición es por paciente (70/15/15), nunca por corte, y está versionada con un hash. El análisis exploratorio guió el diseño: el espesor de corte (0.63–1.25 mm) y el píxel (0.66–1.22 mm) varían, así que toda distancia se calcula en milímetros con el espaciado del header; 34 volúmenes vienen rotados 180° y se reorientan desde su matriz de dirección sin interpolar; la intensidad del hueso (−4 a 1154 HU, percentiles 1–99) fija la ventana [−200, 1200] HU; y la distancia real de los fragmentos secundarios a su hueso tiene mediana de 0.8 mm (máximo 73.1 mm): casi todos están en contacto con él.</w:t>
      </w:r>
    </w:p>
    <w:p>
      <w:pPr>
        <w:pStyle w:val="Heading1"/>
        <w:spacing w:after="80" w:before="140"/>
      </w:pPr>
      <w:r>
        <w:rPr>
          <w:rFonts w:ascii="Arial" w:cs="Arial" w:eastAsia="Arial" w:hAnsi="Arial"/>
          <w:b/>
          <w:bCs/>
          <w:color w:val="000000"/>
          <w:sz w:val="24"/>
          <w:szCs w:val="24"/>
        </w:rPr>
        <w:t xml:space="preserve">3. Método</w:t>
      </w:r>
    </w:p>
    <w:p>
      <w:pPr>
        <w:spacing w:after="100" w:before="0"/>
        <w:jc w:val="both"/>
      </w:pPr>
      <w:r>
        <w:rPr>
          <w:rFonts w:ascii="Arial" w:cs="Arial" w:eastAsia="Arial" w:hAnsi="Arial"/>
          <w:b/>
          <w:bCs/>
          <w:color w:val="000000"/>
          <w:sz w:val="24"/>
          <w:szCs w:val="24"/>
        </w:rPr>
        <w:t xml:space="preserve">Arquitectura.</w:t>
      </w:r>
      <w:r>
        <w:rPr>
          <w:rFonts w:ascii="Arial" w:cs="Arial" w:eastAsia="Arial" w:hAnsi="Arial"/>
          <w:color w:val="000000"/>
          <w:sz w:val="24"/>
          <w:szCs w:val="24"/>
        </w:rPr>
        <w:t xml:space="preserve"> La entrada es 2.5D (cada corte con sus dos vecinos), lo que aporta contexto 3D dentro de la memoria de una GPU de 6 GB. Un backbone propio de cinco bloques convolucionales (32 a 512 canales), con CBAM [3] en los bloques 4 y 5 en el diseño base, alimenta cuatro cabezas: clasificación de las regiones presentes en el corte; detección anchor-free sobre una grilla propia con NMS propio; un decodificador tipo U-Net [5] que segmenta la región anatómica, el rol del fragmento (principal o secundario) y el borde de contacto; y una regresión densa de la distancia en milímetros. El modelo final tiene 6.75 M de parámetros.</w:t>
      </w:r>
    </w:p>
    <w:p>
      <w:pPr>
        <w:spacing w:after="100" w:before="0"/>
        <w:jc w:val="both"/>
      </w:pPr>
      <w:r>
        <w:rPr>
          <w:rFonts w:ascii="Arial" w:cs="Arial" w:eastAsia="Arial" w:hAnsi="Arial"/>
          <w:b/>
          <w:bCs/>
          <w:color w:val="000000"/>
          <w:sz w:val="24"/>
          <w:szCs w:val="24"/>
        </w:rPr>
        <w:t xml:space="preserve">Pérdida.</w:t>
      </w:r>
      <w:r>
        <w:rPr>
          <w:rFonts w:ascii="Arial" w:cs="Arial" w:eastAsia="Arial" w:hAnsi="Arial"/>
          <w:color w:val="000000"/>
          <w:sz w:val="24"/>
          <w:szCs w:val="24"/>
        </w:rPr>
        <w:t xml:space="preserve"> La pérdida suma siete términos. Sus pesos se calibraron igualando las normas de gradiente de cada término sobre el backbone compartido, para que ninguna tarea domine el aprendizaje: λ = 0.5 (clasificación), 3.0 (objectness), 5.0 (cajas), 1.0 (región), 1.0 (rol), 2.0 (borde) y 0.5 (distancia). La receta final añade peso triple a la clase secundaria.</w:t>
      </w:r>
    </w:p>
    <w:p>
      <w:pPr>
        <w:spacing w:after="100" w:before="0"/>
        <w:jc w:val="both"/>
      </w:pPr>
      <w:r>
        <w:rPr>
          <w:rFonts w:ascii="Arial" w:cs="Arial" w:eastAsia="Arial" w:hAnsi="Arial"/>
          <w:b/>
          <w:bCs/>
          <w:color w:val="000000"/>
          <w:sz w:val="24"/>
          <w:szCs w:val="24"/>
        </w:rPr>
        <w:t xml:space="preserve">Entrenamiento y post-proceso.</w:t>
      </w:r>
      <w:r>
        <w:rPr>
          <w:rFonts w:ascii="Arial" w:cs="Arial" w:eastAsia="Arial" w:hAnsi="Arial"/>
          <w:color w:val="000000"/>
          <w:sz w:val="24"/>
          <w:szCs w:val="24"/>
        </w:rPr>
        <w:t xml:space="preserve"> El modelo base se entrena a 256 px en cuatro etapas (detección, segmentación, distancia y ajuste conjunto) con precisión mixta; el final se ajusta desde él a 384 px durante 20 épocas, con rotaciones de hasta 35° y un borde de contacto más grueso. Las predicciones se apilan en volumen; un watershed 3D separa los fragmentos y distance_transform_edt mide la distancia borde a borde al fragmento principal, en milímetros y también sobre el ground truth. Se descartan fragmentos menores de 1 mL, umbral elegido en validación.</w:t>
      </w:r>
    </w:p>
    <w:p>
      <w:pPr>
        <w:spacing w:after="100" w:before="0"/>
        <w:jc w:val="both"/>
      </w:pPr>
      <w:r>
        <w:rPr>
          <w:rFonts w:ascii="Arial" w:cs="Arial" w:eastAsia="Arial" w:hAnsi="Arial"/>
          <w:b/>
          <w:bCs/>
          <w:color w:val="000000"/>
          <w:sz w:val="24"/>
          <w:szCs w:val="24"/>
        </w:rPr>
        <w:t xml:space="preserve">Selección y cómputo.</w:t>
      </w:r>
      <w:r>
        <w:rPr>
          <w:rFonts w:ascii="Arial" w:cs="Arial" w:eastAsia="Arial" w:hAnsi="Arial"/>
          <w:color w:val="000000"/>
          <w:sz w:val="24"/>
          <w:szCs w:val="24"/>
        </w:rPr>
        <w:t xml:space="preserve"> Todo cambio se decide en validación y el modelo final se elige por su Dice de fragmento en validación; la prueba solo se reporta. Todo se entrenó en una RTX 3060 Laptop de 6 GB, con una semilla por modelo (tabla 2).</w:t>
      </w:r>
    </w:p>
    <w:p>
      <w:pPr>
        <w:pStyle w:val="Heading1"/>
        <w:spacing w:after="80" w:before="140"/>
      </w:pPr>
      <w:r>
        <w:rPr>
          <w:rFonts w:ascii="Arial" w:cs="Arial" w:eastAsia="Arial" w:hAnsi="Arial"/>
          <w:b/>
          <w:bCs/>
          <w:color w:val="000000"/>
          <w:sz w:val="24"/>
          <w:szCs w:val="24"/>
        </w:rPr>
        <w:t xml:space="preserve">4. Resultados</w:t>
      </w:r>
    </w:p>
    <w:p>
      <w:pPr>
        <w:spacing w:after="100" w:before="0"/>
        <w:jc w:val="both"/>
      </w:pPr>
      <w:r>
        <w:rPr>
          <w:rFonts w:ascii="Arial" w:cs="Arial" w:eastAsia="Arial" w:hAnsi="Arial"/>
          <w:color w:val="000000"/>
          <w:sz w:val="24"/>
          <w:szCs w:val="24"/>
        </w:rPr>
        <w:t xml:space="preserve">La tabla 1 compara el modelo final con los objetivos del proyecto en los 15 pacientes de prueba. Clasificación y detección superan las metas con amplitud; la segmentación de fragmentos queda por debajo (Dice 0.700 frente a 0.85).</w:t>
      </w:r>
    </w:p>
    <w:p>
      <w:pPr>
        <w:keepNext/>
        <w:spacing w:after="40" w:before="60"/>
        <w:jc w:val="left"/>
      </w:pPr>
      <w:r>
        <w:rPr>
          <w:rFonts w:ascii="Arial" w:cs="Arial" w:eastAsia="Arial" w:hAnsi="Arial"/>
          <w:b/>
          <w:bCs/>
          <w:color w:val="000000"/>
          <w:sz w:val="24"/>
          <w:szCs w:val="24"/>
        </w:rPr>
        <w:t xml:space="preserve">Tabla 1.</w:t>
      </w:r>
      <w:r>
        <w:rPr>
          <w:rFonts w:ascii="Arial" w:cs="Arial" w:eastAsia="Arial" w:hAnsi="Arial"/>
          <w:color w:val="000000"/>
          <w:sz w:val="24"/>
          <w:szCs w:val="24"/>
        </w:rPr>
        <w:t xml:space="preserve"> Modelo final en prueba frente a los objetivos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1800"/>
        <w:gridCol w:w="1800"/>
      </w:tblGrid>
      <w:tr>
        <w:trPr>
          <w:cantSplit/>
          <w:tblHeader/>
        </w:trPr>
        <w:tc>
          <w:tcPr>
            <w:tcW w:type="dxa" w:w="30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bCs/>
                <w:color w:val="000000"/>
                <w:sz w:val="24"/>
                <w:szCs w:val="24"/>
              </w:rPr>
              <w:t xml:space="preserve">Tarea</w:t>
            </w:r>
          </w:p>
        </w:tc>
        <w:tc>
          <w:tcPr>
            <w:tcW w:type="dxa" w:w="27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Métrica</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Objetivo</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Resultado</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Clasificación</w:t>
            </w:r>
          </w:p>
        </w:tc>
        <w:tc>
          <w:tcPr>
            <w:tcW w:type="dxa" w:w="27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F1 / AUC</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 0.85 / 0.85</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0.981 / 0.999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Detección</w:t>
            </w:r>
          </w:p>
        </w:tc>
        <w:tc>
          <w:tcPr>
            <w:tcW w:type="dxa" w:w="27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IoU de cajas</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 0.65</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0.893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Detección</w:t>
            </w:r>
          </w:p>
        </w:tc>
        <w:tc>
          <w:tcPr>
            <w:tcW w:type="dxa" w:w="27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mAP@0.50 / [0.50:0.95]</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 0.65 / 0.40</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0.906 / 0.767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Segm. de fragmento</w:t>
            </w:r>
          </w:p>
        </w:tc>
        <w:tc>
          <w:tcPr>
            <w:tcW w:type="dxa" w:w="27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Dice / IoU</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 0.85 / 0.70</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0.700 / 0.628</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left"/>
            </w:pPr>
            <w:r>
              <w:rPr>
                <w:rFonts w:ascii="Arial" w:cs="Arial" w:eastAsia="Arial" w:hAnsi="Arial"/>
                <w:b w:val="false"/>
                <w:bCs w:val="false"/>
                <w:color w:val="000000"/>
                <w:sz w:val="24"/>
                <w:szCs w:val="24"/>
              </w:rPr>
              <w:t xml:space="preserve">Segm. de fragmento</w:t>
            </w:r>
          </w:p>
        </w:tc>
        <w:tc>
          <w:tcPr>
            <w:tcW w:type="dxa" w:w="27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HD95 / ASSD (mm)</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opcional</w:t>
            </w:r>
          </w:p>
        </w:tc>
        <w:tc>
          <w:tcPr>
            <w:tcW w:type="dxa" w:w="1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23.2 / 5.3</w:t>
            </w:r>
          </w:p>
        </w:tc>
      </w:tr>
    </w:tbl>
    <w:p>
      <w:pPr>
        <w:spacing w:after="100" w:before="100"/>
        <w:jc w:val="both"/>
      </w:pPr>
      <w:r>
        <w:rPr>
          <w:rFonts w:ascii="Arial" w:cs="Arial" w:eastAsia="Arial" w:hAnsi="Arial"/>
          <w:b/>
          <w:bCs/>
          <w:color w:val="000000"/>
          <w:sz w:val="24"/>
          <w:szCs w:val="24"/>
        </w:rPr>
        <w:t xml:space="preserve">Ablación (tabla 2).</w:t>
      </w:r>
      <w:r>
        <w:rPr>
          <w:rFonts w:ascii="Arial" w:cs="Arial" w:eastAsia="Arial" w:hAnsi="Arial"/>
          <w:color w:val="000000"/>
          <w:sz w:val="24"/>
          <w:szCs w:val="24"/>
        </w:rPr>
        <w:t xml:space="preserve"> En las dos resoluciones, quitar CBAM sube la validación (+0.041 y +0.074) y apenas cambia la prueba (−0.009 y −0.019), dentro de la variación esperable con 15 pacientes; el modelo sin CBAM es además más rápido de entrenar. Inicializar el backbone con pesos de un detector entrenado en imágenes naturales no mejoró el Dice en ninguno de los dos conjuntos, aunque redujo los fragmentos espurios (precisión 0.678 frente a 0.602).</w:t>
      </w:r>
    </w:p>
    <w:p>
      <w:pPr>
        <w:keepNext/>
        <w:spacing w:after="40" w:before="60"/>
        <w:jc w:val="left"/>
      </w:pPr>
      <w:r>
        <w:rPr>
          <w:rFonts w:ascii="Arial" w:cs="Arial" w:eastAsia="Arial" w:hAnsi="Arial"/>
          <w:b/>
          <w:bCs/>
          <w:color w:val="000000"/>
          <w:sz w:val="24"/>
          <w:szCs w:val="24"/>
        </w:rPr>
        <w:t xml:space="preserve">Tabla 2.</w:t>
      </w:r>
      <w:r>
        <w:rPr>
          <w:rFonts w:ascii="Arial" w:cs="Arial" w:eastAsia="Arial" w:hAnsi="Arial"/>
          <w:color w:val="000000"/>
          <w:sz w:val="24"/>
          <w:szCs w:val="24"/>
        </w:rPr>
        <w:t xml:space="preserve"> Ablación: Dice de fragmento y tiempo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60"/>
        <w:gridCol w:w="1500"/>
        <w:gridCol w:w="1400"/>
        <w:gridCol w:w="1900"/>
      </w:tblGrid>
      <w:tr>
        <w:trPr>
          <w:cantSplit/>
          <w:tblHeader/>
        </w:trPr>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bCs/>
                <w:color w:val="000000"/>
                <w:sz w:val="24"/>
                <w:szCs w:val="24"/>
              </w:rPr>
              <w:t xml:space="preserve">Escala</w:t>
            </w:r>
          </w:p>
        </w:tc>
        <w:tc>
          <w:tcPr>
            <w:tcW w:type="dxa" w:w="34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bCs/>
                <w:color w:val="000000"/>
                <w:sz w:val="24"/>
                <w:szCs w:val="24"/>
              </w:rPr>
              <w:t xml:space="preserve">Modelo</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Validación</w:t>
            </w:r>
          </w:p>
        </w:tc>
        <w:tc>
          <w:tcPr>
            <w:tcW w:type="dxa" w:w="14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Prueba</w:t>
            </w:r>
          </w:p>
        </w:tc>
        <w:tc>
          <w:tcPr>
            <w:tcW w:type="dxa" w:w="1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Entrenamiento</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256 px</w:t>
            </w:r>
          </w:p>
        </w:tc>
        <w:tc>
          <w:tcPr>
            <w:tcW w:type="dxa" w:w="34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Base, con CBAM</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0.695</w:t>
            </w:r>
          </w:p>
        </w:tc>
        <w:tc>
          <w:tcPr>
            <w:tcW w:type="dxa" w:w="14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0.676</w:t>
            </w:r>
          </w:p>
        </w:tc>
        <w:tc>
          <w:tcPr>
            <w:tcW w:type="dxa" w:w="1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5.2 h</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256 px</w:t>
            </w:r>
          </w:p>
        </w:tc>
        <w:tc>
          <w:tcPr>
            <w:tcW w:type="dxa" w:w="34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Sin CBAM</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0.736</w:t>
            </w:r>
          </w:p>
        </w:tc>
        <w:tc>
          <w:tcPr>
            <w:tcW w:type="dxa" w:w="14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0.667</w:t>
            </w:r>
          </w:p>
        </w:tc>
        <w:tc>
          <w:tcPr>
            <w:tcW w:type="dxa" w:w="1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3.2 h</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256 px</w:t>
            </w:r>
          </w:p>
        </w:tc>
        <w:tc>
          <w:tcPr>
            <w:tcW w:type="dxa" w:w="34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Con transfer learning</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0.658</w:t>
            </w:r>
          </w:p>
        </w:tc>
        <w:tc>
          <w:tcPr>
            <w:tcW w:type="dxa" w:w="14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0.661</w:t>
            </w:r>
          </w:p>
        </w:tc>
        <w:tc>
          <w:tcPr>
            <w:tcW w:type="dxa" w:w="1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4.0 h</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384 px</w:t>
            </w:r>
          </w:p>
        </w:tc>
        <w:tc>
          <w:tcPr>
            <w:tcW w:type="dxa" w:w="34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Con CBAM</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0.719</w:t>
            </w:r>
          </w:p>
        </w:tc>
        <w:tc>
          <w:tcPr>
            <w:tcW w:type="dxa" w:w="14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0.719</w:t>
            </w:r>
          </w:p>
        </w:tc>
        <w:tc>
          <w:tcPr>
            <w:tcW w:type="dxa" w:w="1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3.0 h*</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left"/>
            </w:pPr>
            <w:r>
              <w:rPr>
                <w:rFonts w:ascii="Arial" w:cs="Arial" w:eastAsia="Arial" w:hAnsi="Arial"/>
                <w:b w:val="false"/>
                <w:bCs w:val="false"/>
                <w:color w:val="000000"/>
                <w:sz w:val="24"/>
                <w:szCs w:val="24"/>
              </w:rPr>
              <w:t xml:space="preserve">384 px</w:t>
            </w:r>
          </w:p>
        </w:tc>
        <w:tc>
          <w:tcPr>
            <w:tcW w:type="dxa" w:w="34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left"/>
            </w:pPr>
            <w:r>
              <w:rPr>
                <w:rFonts w:ascii="Arial" w:cs="Arial" w:eastAsia="Arial" w:hAnsi="Arial"/>
                <w:b/>
                <w:bCs/>
                <w:color w:val="000000"/>
                <w:sz w:val="24"/>
                <w:szCs w:val="24"/>
              </w:rPr>
              <w:t xml:space="preserve">Sin CBAM (final)</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bCs/>
                <w:color w:val="000000"/>
                <w:sz w:val="24"/>
                <w:szCs w:val="24"/>
              </w:rPr>
              <w:t xml:space="preserve">0.793</w:t>
            </w:r>
          </w:p>
        </w:tc>
        <w:tc>
          <w:tcPr>
            <w:tcW w:type="dxa" w:w="14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0.700</w:t>
            </w:r>
          </w:p>
        </w:tc>
        <w:tc>
          <w:tcPr>
            <w:tcW w:type="dxa" w:w="1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2.7 h*</w:t>
            </w:r>
          </w:p>
        </w:tc>
      </w:tr>
    </w:tbl>
    <w:p>
      <w:pPr>
        <w:spacing w:after="100" w:before="40"/>
        <w:jc w:val="both"/>
      </w:pPr>
      <w:r>
        <w:rPr>
          <w:rFonts w:ascii="Arial" w:cs="Arial" w:eastAsia="Arial" w:hAnsi="Arial"/>
          <w:color w:val="000000"/>
          <w:sz w:val="24"/>
          <w:szCs w:val="24"/>
        </w:rPr>
        <w:t xml:space="preserve">* Ajuste fino desde el modelo de 256 px correspondiente.</w:t>
      </w:r>
    </w:p>
    <w:p>
      <w:pPr>
        <w:spacing w:after="100" w:before="0"/>
        <w:jc w:val="both"/>
      </w:pPr>
      <w:r>
        <w:rPr>
          <w:rFonts w:ascii="Arial" w:cs="Arial" w:eastAsia="Arial" w:hAnsi="Arial"/>
          <w:b/>
          <w:bCs/>
          <w:color w:val="000000"/>
          <w:sz w:val="24"/>
          <w:szCs w:val="24"/>
        </w:rPr>
        <w:t xml:space="preserve">Matriz de confusión (tabla 3).</w:t>
      </w:r>
      <w:r>
        <w:rPr>
          <w:rFonts w:ascii="Arial" w:cs="Arial" w:eastAsia="Arial" w:hAnsi="Arial"/>
          <w:color w:val="000000"/>
          <w:sz w:val="24"/>
          <w:szCs w:val="24"/>
        </w:rPr>
        <w:t xml:space="preserve"> A nivel de píxel, cada región se clasifica bien: los aciertos están entre 96.5 % y 97.7 %, y casi todo el error es frontera con el fondo; la confusión entre huesos es menor al 0.1 %.</w:t>
      </w:r>
    </w:p>
    <w:p>
      <w:pPr>
        <w:keepNext/>
        <w:spacing w:after="40" w:before="60"/>
        <w:jc w:val="left"/>
      </w:pPr>
      <w:r>
        <w:rPr>
          <w:rFonts w:ascii="Arial" w:cs="Arial" w:eastAsia="Arial" w:hAnsi="Arial"/>
          <w:b/>
          <w:bCs/>
          <w:color w:val="000000"/>
          <w:sz w:val="24"/>
          <w:szCs w:val="24"/>
        </w:rPr>
        <w:t xml:space="preserve">Tabla 3.</w:t>
      </w:r>
      <w:r>
        <w:rPr>
          <w:rFonts w:ascii="Arial" w:cs="Arial" w:eastAsia="Arial" w:hAnsi="Arial"/>
          <w:color w:val="000000"/>
          <w:sz w:val="24"/>
          <w:szCs w:val="24"/>
        </w:rPr>
        <w:t xml:space="preserve"> Matriz de confusión por píxel (% por fila; filas: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cantSplit/>
          <w:tblHeader/>
        </w:trPr>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bCs/>
                <w:color w:val="000000"/>
                <w:sz w:val="24"/>
                <w:szCs w:val="24"/>
              </w:rPr>
              <w:t xml:space="preserve">Referencia</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Fondo</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Sacro</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Coxal izq.</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Coxal der.</w:t>
            </w:r>
          </w:p>
        </w:tc>
      </w:tr>
      <w:tr>
        <w:trPr>
          <w:cantSplit/>
          <w:tblHeader w:val="false"/>
        </w:trPr>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Fondo</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99.95</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0.01</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0.02</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0.02</w:t>
            </w:r>
          </w:p>
        </w:tc>
      </w:tr>
      <w:tr>
        <w:trPr>
          <w:cantSplit/>
          <w:tblHeader w:val="false"/>
        </w:trPr>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Sacro</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3.40</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96.54</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0.02</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0.04</w:t>
            </w:r>
          </w:p>
        </w:tc>
      </w:tr>
      <w:tr>
        <w:trPr>
          <w:cantSplit/>
          <w:tblHeader w:val="false"/>
        </w:trPr>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Coxal izq.</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2.65</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0.07</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97.25</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0.03</w:t>
            </w:r>
          </w:p>
        </w:tc>
      </w:tr>
      <w:tr>
        <w:trPr>
          <w:cantSplit/>
          <w:tblHeader w:val="false"/>
        </w:trPr>
        <w:tc>
          <w:tcPr>
            <w:tcW w:type="dxa" w:w="236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left"/>
            </w:pPr>
            <w:r>
              <w:rPr>
                <w:rFonts w:ascii="Arial" w:cs="Arial" w:eastAsia="Arial" w:hAnsi="Arial"/>
                <w:b w:val="false"/>
                <w:bCs w:val="false"/>
                <w:color w:val="000000"/>
                <w:sz w:val="24"/>
                <w:szCs w:val="24"/>
              </w:rPr>
              <w:t xml:space="preserve">Coxal der.</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2.30</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0.02</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0.01</w:t>
            </w:r>
          </w:p>
        </w:tc>
        <w:tc>
          <w:tcPr>
            <w:tcW w:type="dxa" w:w="17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bCs/>
                <w:color w:val="000000"/>
                <w:sz w:val="24"/>
                <w:szCs w:val="24"/>
              </w:rPr>
              <w:t xml:space="preserve">97.67</w:t>
            </w:r>
          </w:p>
        </w:tc>
      </w:tr>
    </w:tbl>
    <w:p>
      <w:pPr>
        <w:spacing w:after="100" w:before="100"/>
        <w:jc w:val="both"/>
      </w:pPr>
      <w:r>
        <w:rPr>
          <w:rFonts w:ascii="Arial" w:cs="Arial" w:eastAsia="Arial" w:hAnsi="Arial"/>
          <w:b/>
          <w:bCs/>
          <w:color w:val="000000"/>
          <w:sz w:val="24"/>
          <w:szCs w:val="24"/>
        </w:rPr>
        <w:t xml:space="preserve">Cinco peores casos (tabla 4).</w:t>
      </w:r>
      <w:r>
        <w:rPr>
          <w:rFonts w:ascii="Arial" w:cs="Arial" w:eastAsia="Arial" w:hAnsi="Arial"/>
          <w:color w:val="000000"/>
          <w:sz w:val="24"/>
          <w:szCs w:val="24"/>
        </w:rPr>
        <w:t xml:space="preserve"> La galería (un corte por caso, el de más error) muestra que el error está en los secundarios: absorbidos por el principal, fundidos entre sí o partidos.</w:t>
      </w:r>
    </w:p>
    <w:p>
      <w:pPr>
        <w:keepNext/>
        <w:spacing w:after="40" w:before="60"/>
        <w:jc w:val="left"/>
      </w:pPr>
      <w:r>
        <w:rPr>
          <w:rFonts w:ascii="Arial" w:cs="Arial" w:eastAsia="Arial" w:hAnsi="Arial"/>
          <w:b/>
          <w:bCs/>
          <w:color w:val="000000"/>
          <w:sz w:val="24"/>
          <w:szCs w:val="24"/>
        </w:rPr>
        <w:t xml:space="preserve">Tabla 4.</w:t>
      </w:r>
      <w:r>
        <w:rPr>
          <w:rFonts w:ascii="Arial" w:cs="Arial" w:eastAsia="Arial" w:hAnsi="Arial"/>
          <w:color w:val="000000"/>
          <w:sz w:val="24"/>
          <w:szCs w:val="24"/>
        </w:rPr>
        <w:t xml:space="preserve"> Casos de prueba con menor Dice de fragmento y causa probable.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3710"/>
        <w:gridCol w:w="3800"/>
      </w:tblGrid>
      <w:tr>
        <w:trPr>
          <w:cantSplit/>
          <w:tblHeader/>
        </w:trPr>
        <w:tc>
          <w:tcPr>
            <w:tcW w:type="dxa" w:w="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bCs/>
                <w:color w:val="000000"/>
                <w:sz w:val="24"/>
                <w:szCs w:val="24"/>
              </w:rPr>
              <w:t xml:space="preserve">Caso</w:t>
            </w:r>
          </w:p>
        </w:tc>
        <w:tc>
          <w:tcPr>
            <w:tcW w:type="dxa" w:w="9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bCs/>
                <w:color w:val="000000"/>
                <w:sz w:val="24"/>
                <w:szCs w:val="24"/>
              </w:rPr>
              <w:t xml:space="preserve">Dice</w:t>
            </w:r>
          </w:p>
        </w:tc>
        <w:tc>
          <w:tcPr>
            <w:tcW w:type="dxa" w:w="371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bCs/>
                <w:color w:val="000000"/>
                <w:sz w:val="24"/>
                <w:szCs w:val="24"/>
              </w:rPr>
              <w:t xml:space="preserve">Qué falla</w:t>
            </w:r>
          </w:p>
        </w:tc>
        <w:tc>
          <w:tcPr>
            <w:tcW w:type="dxa" w:w="3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bCs/>
                <w:color w:val="000000"/>
                <w:sz w:val="24"/>
                <w:szCs w:val="24"/>
              </w:rPr>
              <w:t xml:space="preserve">Causa probable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039</w:t>
            </w:r>
          </w:p>
        </w:tc>
        <w:tc>
          <w:tcPr>
            <w:tcW w:type="dxa" w:w="9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0.50</w:t>
            </w:r>
          </w:p>
        </w:tc>
        <w:tc>
          <w:tcPr>
            <w:tcW w:type="dxa" w:w="371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SA-2 y SA-3 absorbidos; 5 espurios</w:t>
            </w:r>
          </w:p>
        </w:tc>
        <w:tc>
          <w:tcPr>
            <w:tcW w:type="dxa" w:w="3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Secundarios del sacro pintados como el principal</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085</w:t>
            </w:r>
          </w:p>
        </w:tc>
        <w:tc>
          <w:tcPr>
            <w:tcW w:type="dxa" w:w="9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0.55</w:t>
            </w:r>
          </w:p>
        </w:tc>
        <w:tc>
          <w:tcPr>
            <w:tcW w:type="dxa" w:w="371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SA-2 perdido; LI-1 (0.23) y LI-4 (0.04)</w:t>
            </w:r>
          </w:p>
        </w:tc>
        <w:tc>
          <w:tcPr>
            <w:tcW w:type="dxa" w:w="3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Confunde cuál fragmento del coxal izq. es el principal</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002</w:t>
            </w:r>
          </w:p>
        </w:tc>
        <w:tc>
          <w:tcPr>
            <w:tcW w:type="dxa" w:w="9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0.61</w:t>
            </w:r>
          </w:p>
        </w:tc>
        <w:tc>
          <w:tcPr>
            <w:tcW w:type="dxa" w:w="371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RI-2 y RI-3 fundidos; espurio de 20 mL</w:t>
            </w:r>
          </w:p>
        </w:tc>
        <w:tc>
          <w:tcPr>
            <w:tcW w:type="dxa" w:w="3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Rama superior del coxal izq. separada como fragmento</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084</w:t>
            </w:r>
          </w:p>
        </w:tc>
        <w:tc>
          <w:tcPr>
            <w:tcW w:type="dxa" w:w="9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0.64</w:t>
            </w:r>
          </w:p>
        </w:tc>
        <w:tc>
          <w:tcPr>
            <w:tcW w:type="dxa" w:w="371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left"/>
            </w:pPr>
            <w:r>
              <w:rPr>
                <w:rFonts w:ascii="Arial" w:cs="Arial" w:eastAsia="Arial" w:hAnsi="Arial"/>
                <w:b w:val="false"/>
                <w:bCs w:val="false"/>
                <w:color w:val="000000"/>
                <w:sz w:val="24"/>
                <w:szCs w:val="24"/>
              </w:rPr>
              <w:t xml:space="preserve">LI-3 y LI-4 perdidos; 5 espurios</w:t>
            </w:r>
          </w:p>
        </w:tc>
        <w:tc>
          <w:tcPr>
            <w:tcW w:type="dxa" w:w="3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jc w:val="center"/>
            </w:pPr>
            <w:r>
              <w:rPr>
                <w:rFonts w:ascii="Arial" w:cs="Arial" w:eastAsia="Arial" w:hAnsi="Arial"/>
                <w:b w:val="false"/>
                <w:bCs w:val="false"/>
                <w:color w:val="000000"/>
                <w:sz w:val="24"/>
                <w:szCs w:val="24"/>
              </w:rPr>
              <w:t xml:space="preserve">Fragmentos pequeños junto a la unión sacro–coxal izq.</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left"/>
            </w:pPr>
            <w:r>
              <w:rPr>
                <w:rFonts w:ascii="Arial" w:cs="Arial" w:eastAsia="Arial" w:hAnsi="Arial"/>
                <w:b w:val="false"/>
                <w:bCs w:val="false"/>
                <w:color w:val="000000"/>
                <w:sz w:val="24"/>
                <w:szCs w:val="24"/>
              </w:rPr>
              <w:t xml:space="preserve">015</w:t>
            </w:r>
          </w:p>
        </w:tc>
        <w:tc>
          <w:tcPr>
            <w:tcW w:type="dxa" w:w="95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left"/>
            </w:pPr>
            <w:r>
              <w:rPr>
                <w:rFonts w:ascii="Arial" w:cs="Arial" w:eastAsia="Arial" w:hAnsi="Arial"/>
                <w:b w:val="false"/>
                <w:bCs w:val="false"/>
                <w:color w:val="000000"/>
                <w:sz w:val="24"/>
                <w:szCs w:val="24"/>
              </w:rPr>
              <w:t xml:space="preserve">0.66</w:t>
            </w:r>
          </w:p>
        </w:tc>
        <w:tc>
          <w:tcPr>
            <w:tcW w:type="dxa" w:w="371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left"/>
            </w:pPr>
            <w:r>
              <w:rPr>
                <w:rFonts w:ascii="Arial" w:cs="Arial" w:eastAsia="Arial" w:hAnsi="Arial"/>
                <w:b w:val="false"/>
                <w:bCs w:val="false"/>
                <w:color w:val="000000"/>
                <w:sz w:val="24"/>
                <w:szCs w:val="24"/>
              </w:rPr>
              <w:t xml:space="preserve">SA-2 partido; LI-3 perdido; 7 espurios</w:t>
            </w:r>
          </w:p>
        </w:tc>
        <w:tc>
          <w:tcPr>
            <w:tcW w:type="dxa" w:w="3800"/>
            <w:tcBorders>
              <w:top w:val="single" w:color="000000" w:sz="4"/>
              <w:left w:val="single" w:color="000000" w:sz="4"/>
              <w:bottom w:val="single" w:color="000000" w:sz="4"/>
              <w:right w:val="single" w:color="000000" w:sz="4"/>
            </w:tcBorders>
            <w:tcMar>
              <w:top w:type="dxa" w:w="20"/>
              <w:left w:type="dxa" w:w="80"/>
              <w:bottom w:type="dxa" w:w="20"/>
              <w:right w:type="dxa" w:w="80"/>
            </w:tcMar>
          </w:tcPr>
          <w:p>
            <w:pPr>
              <w:keepNext w:val="false"/>
              <w:jc w:val="center"/>
            </w:pPr>
            <w:r>
              <w:rPr>
                <w:rFonts w:ascii="Arial" w:cs="Arial" w:eastAsia="Arial" w:hAnsi="Arial"/>
                <w:b w:val="false"/>
                <w:bCs w:val="false"/>
                <w:color w:val="000000"/>
                <w:sz w:val="24"/>
                <w:szCs w:val="24"/>
              </w:rPr>
              <w:t xml:space="preserve">Borde de contacto con semillas de más en el sacro</w:t>
            </w:r>
          </w:p>
        </w:tc>
      </w:tr>
    </w:tbl>
    <w:p>
      <w:pPr>
        <w:spacing w:after="100" w:before="100"/>
        <w:jc w:val="both"/>
      </w:pPr>
      <w:r>
        <w:rPr>
          <w:rFonts w:ascii="Arial" w:cs="Arial" w:eastAsia="Arial" w:hAnsi="Arial"/>
          <w:b/>
          <w:bCs/>
          <w:color w:val="000000"/>
          <w:sz w:val="24"/>
          <w:szCs w:val="24"/>
        </w:rPr>
        <w:t xml:space="preserve">Distancia de separación: predicción frente a ground truth.</w:t>
      </w:r>
      <w:r>
        <w:rPr>
          <w:rFonts w:ascii="Arial" w:cs="Arial" w:eastAsia="Arial" w:hAnsi="Arial"/>
          <w:color w:val="000000"/>
          <w:sz w:val="24"/>
          <w:szCs w:val="24"/>
        </w:rPr>
        <w:t xml:space="preserve"> De los 46 fragmentos secundarios de prueba, 25 se emparejaron con una predicción. En 20 de ellos el error es de 1 mm o menos (mediana 0.0 mm), porque la mayoría está en contacto con su hueso tanto en la referencia como en la predicción. El error medio (4.0 mm) lo explican tres fragmentos realmente desplazados (12.9, 35.1 y 50.8 mm en la referencia) que el modelo midió como pegados (0.8 mm): al no separar bien esos fragmentos, la segmentación transfiere su error directamente a la medida, justo en los casos de mayor interés clínico. Los 21 secundarios sin pareja no tienen medida predicha.</w:t>
      </w:r>
    </w:p>
    <w:p>
      <w:pPr>
        <w:spacing w:after="100" w:before="0"/>
        <w:jc w:val="both"/>
      </w:pPr>
      <w:r>
        <w:rPr>
          <w:rFonts w:ascii="Arial" w:cs="Arial" w:eastAsia="Arial" w:hAnsi="Arial"/>
          <w:b/>
          <w:bCs/>
          <w:color w:val="000000"/>
          <w:sz w:val="24"/>
          <w:szCs w:val="24"/>
        </w:rPr>
        <w:t xml:space="preserve">Robustez, SAM y latencia.</w:t>
      </w:r>
      <w:r>
        <w:rPr>
          <w:rFonts w:ascii="Arial" w:cs="Arial" w:eastAsia="Arial" w:hAnsi="Arial"/>
          <w:color w:val="000000"/>
          <w:sz w:val="24"/>
          <w:szCs w:val="24"/>
        </w:rPr>
        <w:t xml:space="preserve"> Con la degradación más fuerte (ruido, desenfoque, resolución y contraste), la detección se mantiene (mAP@0.50 0.876) y el Dice de fragmento baja a 0.614. Como línea base, SAM [6] sin ajuste fino, con las cajas del modelo final como prompt, logra Dice 0.918 e IoU 0.851 por región frente a 0.969 y 0.941 del modelo propio; la brecha está en el sacro (0.879 frente a 0.963) y SAM no separa fragmentos ni mide distancias. La inferencia toma ~13.5 ms por corte en GPU y entre ≈ 225 y ≈ 353 ms en CPU según el equipo (1.3 a 2.3 min por TC).</w:t>
      </w:r>
    </w:p>
    <w:p>
      <w:pPr>
        <w:pStyle w:val="Heading1"/>
        <w:spacing w:after="80" w:before="140"/>
      </w:pPr>
      <w:r>
        <w:rPr>
          <w:rFonts w:ascii="Arial" w:cs="Arial" w:eastAsia="Arial" w:hAnsi="Arial"/>
          <w:b/>
          <w:bCs/>
          <w:color w:val="000000"/>
          <w:sz w:val="24"/>
          <w:szCs w:val="24"/>
        </w:rPr>
        <w:t xml:space="preserve">5. Discusión y limitaciones</w:t>
      </w:r>
    </w:p>
    <w:p>
      <w:pPr>
        <w:spacing w:after="100" w:before="0"/>
        <w:jc w:val="both"/>
      </w:pPr>
      <w:r>
        <w:rPr>
          <w:rFonts w:ascii="Arial" w:cs="Arial" w:eastAsia="Arial" w:hAnsi="Arial"/>
          <w:color w:val="000000"/>
          <w:sz w:val="24"/>
          <w:szCs w:val="24"/>
        </w:rPr>
        <w:t xml:space="preserve">El sistema resuelve la parte anatómica: encontrar, clasificar y delimitar cada hueso es preciso y robusto. La dificultad son los fragmentos secundarios en contacto con su hueso. Los fragmentos principales alcanzan un Dice de 0.93, pero los secundarios grandes tienden a ser absorbidos por el principal (7 de 45 en validación sin CBAM, frente a 19 con CBAM) y trece variantes del post-proceso no lo corrigieron: decidir cuál pieza es la principal es una propiedad 3D y la red decide corte a corte. Ese mismo problema explica el error de distancia en los fragmentos desplazados. Además, el Dice no ve los fragmentos falsos (en validación se llegaron a predecir 216 para 90 reales); el umbral de 1 mL deja la precisión en 0.60. Con una semilla por modelo y 15 pacientes por partición, diferencias de ~0.02 no son concluyentes. El enunciado pide CBAM en el backbone: el diseño lo incluye y los pesos con CBAM también se entregan, pero el modelo final lo retira por la evidencia de la ablación.</w:t>
      </w:r>
    </w:p>
    <w:p>
      <w:pPr>
        <w:pStyle w:val="Heading1"/>
        <w:spacing w:after="80" w:before="140"/>
      </w:pPr>
      <w:r>
        <w:rPr>
          <w:rFonts w:ascii="Arial" w:cs="Arial" w:eastAsia="Arial" w:hAnsi="Arial"/>
          <w:b/>
          <w:bCs/>
          <w:color w:val="000000"/>
          <w:sz w:val="24"/>
          <w:szCs w:val="24"/>
        </w:rPr>
        <w:t xml:space="preserve">6. Conclusiones y uso de IA</w:t>
      </w:r>
    </w:p>
    <w:p>
      <w:pPr>
        <w:spacing w:after="100" w:before="0"/>
        <w:jc w:val="both"/>
      </w:pPr>
      <w:r>
        <w:rPr>
          <w:rFonts w:ascii="Arial" w:cs="Arial" w:eastAsia="Arial" w:hAnsi="Arial"/>
          <w:color w:val="000000"/>
          <w:sz w:val="24"/>
          <w:szCs w:val="24"/>
        </w:rPr>
        <w:t xml:space="preserve">Una red multitarea propia de 6.75 M de parámetros, entrenada en pocas horas en una GPU portátil de 6 GB, supera las metas de clasificación y detección, pero no la de segmentación de fragmentos. La comparación de distancias muestra que el error de medida nace de la segmentación de fragmentos desplazados, que es lo que debería atacar un modelo 3D. Se usó IA generativa como apoyo en código, documentación y despliegue; cada uso y su análisis crítico están en IA_USAGE.md.</w:t>
      </w:r>
    </w:p>
    <w:p>
      <w:pPr>
        <w:pStyle w:val="Heading1"/>
        <w:spacing w:after="80" w:before="140"/>
      </w:pPr>
      <w:r>
        <w:rPr>
          <w:rFonts w:ascii="Arial" w:cs="Arial" w:eastAsia="Arial" w:hAnsi="Arial"/>
          <w:b/>
          <w:bCs/>
          <w:color w:val="000000"/>
          <w:sz w:val="24"/>
          <w:szCs w:val="24"/>
        </w:rPr>
        <w:t xml:space="preserve">Referencias</w:t>
      </w:r>
    </w:p>
    <w:p>
      <w:pPr>
        <w:spacing w:after="40" w:before="0"/>
        <w:jc w:val="left"/>
      </w:pPr>
      <w:r>
        <w:rPr>
          <w:rFonts w:ascii="Arial" w:cs="Arial" w:eastAsia="Arial" w:hAnsi="Arial"/>
          <w:color w:val="000000"/>
          <w:sz w:val="24"/>
          <w:szCs w:val="24"/>
        </w:rPr>
        <w:t xml:space="preserve">[1] Y. Sang, Y. Liu, S. Yibulayimu et al., “Benchmark of Segmentation Techniques for Pelvic Fracture in CT and X-Ray: Summary of the PENGWIN 2024 Challenge”, IEEE Trans. Med. Imaging, vol. 45, no. 5, pp. 2212–2228, 2026, doi:10.1109/TMI.2025.3650126.</w:t>
      </w:r>
    </w:p>
    <w:p>
      <w:pPr>
        <w:spacing w:after="40" w:before="0"/>
        <w:jc w:val="left"/>
      </w:pPr>
      <w:r>
        <w:rPr>
          <w:rFonts w:ascii="Arial" w:cs="Arial" w:eastAsia="Arial" w:hAnsi="Arial"/>
          <w:color w:val="000000"/>
          <w:sz w:val="24"/>
          <w:szCs w:val="24"/>
        </w:rPr>
        <w:t xml:space="preserve">[2] Y. Liu, S. Yibulayimu, G. Zhu et al., “Automatic pelvic fracture segmentation: a deep learning approach and benchmark dataset”, Frontiers in Medicine, vol. 12, 1511487, 2025. Datos: doi:10.5281/zenodo.10927452.</w:t>
      </w:r>
    </w:p>
    <w:p>
      <w:pPr>
        <w:spacing w:after="40" w:before="0"/>
        <w:jc w:val="left"/>
      </w:pPr>
      <w:r>
        <w:rPr>
          <w:rFonts w:ascii="Arial" w:cs="Arial" w:eastAsia="Arial" w:hAnsi="Arial"/>
          <w:color w:val="000000"/>
          <w:sz w:val="24"/>
          <w:szCs w:val="24"/>
        </w:rPr>
        <w:t xml:space="preserve">[3] S. Woo, J. Park, J.-Y. Lee e I. S. Kweon, “CBAM: Convolutional Block Attention Module”, ECCV, 2018.</w:t>
      </w:r>
    </w:p>
    <w:p>
      <w:pPr>
        <w:spacing w:after="40" w:before="0"/>
        <w:jc w:val="left"/>
      </w:pPr>
      <w:r>
        <w:rPr>
          <w:rFonts w:ascii="Arial" w:cs="Arial" w:eastAsia="Arial" w:hAnsi="Arial"/>
          <w:color w:val="000000"/>
          <w:sz w:val="24"/>
          <w:szCs w:val="24"/>
        </w:rPr>
        <w:t xml:space="preserve">[4] Z. Tian, C. Shen, H. Chen y T. He, “FCOS: Fully Convolutional One-Stage Object Detection”, ICCV, 2019.</w:t>
      </w:r>
    </w:p>
    <w:p>
      <w:pPr>
        <w:spacing w:after="40" w:before="0"/>
        <w:jc w:val="left"/>
      </w:pPr>
      <w:r>
        <w:rPr>
          <w:rFonts w:ascii="Arial" w:cs="Arial" w:eastAsia="Arial" w:hAnsi="Arial"/>
          <w:color w:val="000000"/>
          <w:sz w:val="24"/>
          <w:szCs w:val="24"/>
        </w:rPr>
        <w:t xml:space="preserve">[5] O. Ronneberger, P. Fischer y T. Brox, “U-Net: Convolutional Networks for Biomedical Image Segmentation”, MICCAI, 2015.</w:t>
      </w:r>
    </w:p>
    <w:p>
      <w:pPr>
        <w:spacing w:after="40" w:before="0"/>
        <w:jc w:val="left"/>
      </w:pPr>
      <w:r>
        <w:rPr>
          <w:rFonts w:ascii="Arial" w:cs="Arial" w:eastAsia="Arial" w:hAnsi="Arial"/>
          <w:color w:val="000000"/>
          <w:sz w:val="24"/>
          <w:szCs w:val="24"/>
        </w:rPr>
        <w:t xml:space="preserve">[6] A. Kirillov et al., “Segment Anything”, ICCV,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PENGWIN</dc:title>
  <dc:creator>Equipo PENGWIN</dc:creator>
  <cp:lastModifiedBy>Un-named</cp:lastModifiedBy>
  <cp:revision>1</cp:revision>
  <dcterms:created xsi:type="dcterms:W3CDTF">2026-10-17T16:55:50.791Z</dcterms:created>
  <dcterms:modified xsi:type="dcterms:W3CDTF">2026-10-17T16:55:50.791Z</dcterms:modified>
</cp:coreProperties>
</file>

<file path=docProps/custom.xml><?xml version="1.0" encoding="utf-8"?>
<Properties xmlns="http://schemas.openxmlformats.org/officeDocument/2006/custom-properties" xmlns:vt="http://schemas.openxmlformats.org/officeDocument/2006/docPropsVTypes"/>
</file>