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14BDB" w14:textId="77777777" w:rsidR="00AC7377" w:rsidRPr="00D1620E" w:rsidRDefault="00AC7377" w:rsidP="00AC7377">
      <w:pPr>
        <w:pStyle w:val="Heading1"/>
      </w:pPr>
      <w:r w:rsidRPr="00D1620E">
        <w:rPr>
          <w:rFonts w:hint="eastAsia"/>
        </w:rPr>
        <w:t>一、</w:t>
      </w:r>
      <w:proofErr w:type="gramStart"/>
      <w:r w:rsidRPr="00D1620E">
        <w:rPr>
          <w:rFonts w:hint="eastAsia"/>
        </w:rPr>
        <w:t>浮晶的</w:t>
      </w:r>
      <w:proofErr w:type="gramEnd"/>
      <w:r w:rsidRPr="00D1620E">
        <w:rPr>
          <w:rFonts w:hint="eastAsia"/>
        </w:rPr>
        <w:t>定义与基本性</w:t>
      </w:r>
      <w:r w:rsidRPr="00D1620E">
        <w:t>质</w:t>
      </w:r>
    </w:p>
    <w:p w14:paraId="7DBECC2D" w14:textId="1BABD47C" w:rsidR="00AC7377" w:rsidRDefault="00AC7377" w:rsidP="00AC7377">
      <w:pPr>
        <w:spacing w:before="100" w:beforeAutospacing="1" w:after="100" w:afterAutospacing="1" w:line="240" w:lineRule="auto"/>
        <w:rPr>
          <w:rFonts w:asciiTheme="minorEastAsia" w:hAnsiTheme="minorEastAsia" w:cstheme="minorHAnsi"/>
          <w:kern w:val="0"/>
          <w:sz w:val="24"/>
          <w:szCs w:val="24"/>
          <w14:ligatures w14:val="none"/>
        </w:rPr>
      </w:pPr>
      <w:r w:rsidRPr="00D1620E">
        <w:rPr>
          <w:rFonts w:asciiTheme="minorEastAsia" w:hAnsiTheme="minorEastAsia" w:cstheme="minorHAnsi" w:hint="eastAsia"/>
          <w:kern w:val="0"/>
          <w:sz w:val="24"/>
          <w:szCs w:val="24"/>
          <w14:ligatures w14:val="none"/>
        </w:rPr>
        <w:t>浮晶，是一种在大灾变后被重新发现并逐步纳入文明体系的特殊晶体资源。其外观多呈天蓝、青绿或偏银白色，晶体表面常带有柔和的半透明光泽，在不同环境下会表现出轻微的色差与辉光变化。</w:t>
      </w:r>
      <w:proofErr w:type="gramStart"/>
      <w:r w:rsidRPr="004442D2">
        <w:rPr>
          <w:rFonts w:asciiTheme="minorEastAsia" w:hAnsiTheme="minorEastAsia" w:cstheme="minorHAnsi"/>
          <w:kern w:val="0"/>
          <w:sz w:val="24"/>
          <w:szCs w:val="24"/>
          <w14:ligatures w14:val="none"/>
        </w:rPr>
        <w:t>浮晶并非</w:t>
      </w:r>
      <w:proofErr w:type="gramEnd"/>
      <w:r w:rsidRPr="004442D2">
        <w:rPr>
          <w:rFonts w:asciiTheme="minorEastAsia" w:hAnsiTheme="minorEastAsia" w:cstheme="minorHAnsi"/>
          <w:kern w:val="0"/>
          <w:sz w:val="24"/>
          <w:szCs w:val="24"/>
          <w14:ligatures w14:val="none"/>
        </w:rPr>
        <w:t>传统意义上</w:t>
      </w:r>
      <w:proofErr w:type="gramStart"/>
      <w:r w:rsidRPr="004442D2">
        <w:rPr>
          <w:rFonts w:asciiTheme="minorEastAsia" w:hAnsiTheme="minorEastAsia" w:cstheme="minorHAnsi"/>
          <w:kern w:val="0"/>
          <w:sz w:val="24"/>
          <w:szCs w:val="24"/>
          <w14:ligatures w14:val="none"/>
        </w:rPr>
        <w:t>的魔导矿物</w:t>
      </w:r>
      <w:proofErr w:type="gramEnd"/>
      <w:r w:rsidRPr="004442D2">
        <w:rPr>
          <w:rFonts w:asciiTheme="minorEastAsia" w:hAnsiTheme="minorEastAsia" w:cstheme="minorHAnsi"/>
          <w:kern w:val="0"/>
          <w:sz w:val="24"/>
          <w:szCs w:val="24"/>
          <w14:ligatures w14:val="none"/>
        </w:rPr>
        <w:t>。它无法直接作为魔力石使用，其自身特性反而会在粉尘状态下干扰甚至破坏环境中魔力的稳定流动。</w:t>
      </w:r>
      <w:proofErr w:type="gramStart"/>
      <w:r w:rsidRPr="004442D2">
        <w:rPr>
          <w:rFonts w:asciiTheme="minorEastAsia" w:hAnsiTheme="minorEastAsia" w:cstheme="minorHAnsi"/>
          <w:kern w:val="0"/>
          <w:sz w:val="24"/>
          <w:szCs w:val="24"/>
          <w14:ligatures w14:val="none"/>
        </w:rPr>
        <w:t>浮晶真正</w:t>
      </w:r>
      <w:proofErr w:type="gramEnd"/>
      <w:r w:rsidRPr="004442D2">
        <w:rPr>
          <w:rFonts w:asciiTheme="minorEastAsia" w:hAnsiTheme="minorEastAsia" w:cstheme="minorHAnsi"/>
          <w:kern w:val="0"/>
          <w:sz w:val="24"/>
          <w:szCs w:val="24"/>
          <w14:ligatures w14:val="none"/>
        </w:rPr>
        <w:t>的价值，在于其在持续电流充能下，能够生成以晶体为核心展开的反重力立场。立场强度受晶体质量、几何完整度与电流输入水平共同影响，而一旦电流中断，立场便会按晶体规模逐步消散</w:t>
      </w:r>
      <w:r w:rsidRPr="004442D2">
        <w:rPr>
          <w:rFonts w:asciiTheme="minorEastAsia" w:hAnsiTheme="minorEastAsia" w:cstheme="minorHAnsi" w:hint="eastAsia"/>
          <w:kern w:val="0"/>
          <w:sz w:val="24"/>
          <w:szCs w:val="24"/>
          <w14:ligatures w14:val="none"/>
        </w:rPr>
        <w:t>。</w:t>
      </w:r>
      <w:r w:rsidRPr="00D1620E">
        <w:rPr>
          <w:rFonts w:asciiTheme="minorEastAsia" w:hAnsiTheme="minorEastAsia" w:cstheme="minorHAnsi" w:hint="eastAsia"/>
          <w:kern w:val="0"/>
          <w:sz w:val="24"/>
          <w:szCs w:val="24"/>
          <w14:ligatures w14:val="none"/>
        </w:rPr>
        <w:t>处于这一立场中的物体，并不会完全摆脱重力，而是会在整体有效重量上被显著削减，从而获得脱离地表束缚的可能。若再辅以推进、平衡、操舵与固定结构，原本无法升空的大型</w:t>
      </w:r>
      <w:proofErr w:type="gramStart"/>
      <w:r w:rsidRPr="00D1620E">
        <w:rPr>
          <w:rFonts w:asciiTheme="minorEastAsia" w:hAnsiTheme="minorEastAsia" w:cstheme="minorHAnsi" w:hint="eastAsia"/>
          <w:kern w:val="0"/>
          <w:sz w:val="24"/>
          <w:szCs w:val="24"/>
          <w14:ligatures w14:val="none"/>
        </w:rPr>
        <w:t>载具与</w:t>
      </w:r>
      <w:proofErr w:type="gramEnd"/>
      <w:r w:rsidRPr="00D1620E">
        <w:rPr>
          <w:rFonts w:asciiTheme="minorEastAsia" w:hAnsiTheme="minorEastAsia" w:cstheme="minorHAnsi" w:hint="eastAsia"/>
          <w:kern w:val="0"/>
          <w:sz w:val="24"/>
          <w:szCs w:val="24"/>
          <w14:ligatures w14:val="none"/>
        </w:rPr>
        <w:t>建筑便可进入低空航行或半悬浮状态。正因如此，</w:t>
      </w:r>
      <w:proofErr w:type="gramStart"/>
      <w:r w:rsidRPr="00D1620E">
        <w:rPr>
          <w:rFonts w:asciiTheme="minorEastAsia" w:hAnsiTheme="minorEastAsia" w:cstheme="minorHAnsi" w:hint="eastAsia"/>
          <w:kern w:val="0"/>
          <w:sz w:val="24"/>
          <w:szCs w:val="24"/>
          <w14:ligatures w14:val="none"/>
        </w:rPr>
        <w:t>浮晶并不是</w:t>
      </w:r>
      <w:proofErr w:type="gramEnd"/>
      <w:r w:rsidRPr="00D1620E">
        <w:rPr>
          <w:rFonts w:asciiTheme="minorEastAsia" w:hAnsiTheme="minorEastAsia" w:cstheme="minorHAnsi" w:hint="eastAsia"/>
          <w:kern w:val="0"/>
          <w:sz w:val="24"/>
          <w:szCs w:val="24"/>
          <w14:ligatures w14:val="none"/>
        </w:rPr>
        <w:t>一种单纯的奇迹材料，而是一种改变了运输方式、军事空间与工程尺度的基础资源。它的发现，标志着后灾变文明第一次真正拥有了系统性开发天空的能力，也使</w:t>
      </w:r>
      <w:proofErr w:type="gramStart"/>
      <w:r>
        <w:rPr>
          <w:rFonts w:asciiTheme="minorEastAsia" w:hAnsiTheme="minorEastAsia" w:cstheme="minorHAnsi" w:hint="eastAsia"/>
          <w:kern w:val="0"/>
          <w:sz w:val="24"/>
          <w:szCs w:val="24"/>
          <w14:ligatures w14:val="none"/>
        </w:rPr>
        <w:t>天空从遥不可</w:t>
      </w:r>
      <w:proofErr w:type="gramEnd"/>
      <w:r>
        <w:rPr>
          <w:rFonts w:asciiTheme="minorEastAsia" w:hAnsiTheme="minorEastAsia" w:cstheme="minorHAnsi" w:hint="eastAsia"/>
          <w:kern w:val="0"/>
          <w:sz w:val="24"/>
          <w:szCs w:val="24"/>
          <w14:ligatures w14:val="none"/>
        </w:rPr>
        <w:t>及之地</w:t>
      </w:r>
      <w:r w:rsidRPr="00D1620E">
        <w:rPr>
          <w:rFonts w:asciiTheme="minorEastAsia" w:hAnsiTheme="minorEastAsia" w:cstheme="minorHAnsi" w:hint="eastAsia"/>
          <w:kern w:val="0"/>
          <w:sz w:val="24"/>
          <w:szCs w:val="24"/>
          <w14:ligatures w14:val="none"/>
        </w:rPr>
        <w:t>，逐渐转变为人类与诸族可以经营、争夺与统治的新边疆</w:t>
      </w:r>
      <w:r w:rsidRPr="00D1620E">
        <w:rPr>
          <w:rFonts w:asciiTheme="minorEastAsia" w:hAnsiTheme="minorEastAsia" w:cstheme="minorHAnsi"/>
          <w:kern w:val="0"/>
          <w:sz w:val="24"/>
          <w:szCs w:val="24"/>
          <w14:ligatures w14:val="none"/>
        </w:rPr>
        <w:t>。</w:t>
      </w:r>
    </w:p>
    <w:p w14:paraId="2DB158DC" w14:textId="77777777" w:rsidR="00AC7377" w:rsidRPr="00D1620E" w:rsidRDefault="00AC7377" w:rsidP="00AC7377">
      <w:pPr>
        <w:pStyle w:val="Heading1"/>
      </w:pPr>
      <w:r w:rsidRPr="00D1620E">
        <w:rPr>
          <w:rFonts w:hint="eastAsia"/>
        </w:rPr>
        <w:t>二、立场强度、晶体品质与材料门</w:t>
      </w:r>
      <w:r w:rsidRPr="00D1620E">
        <w:t>槛</w:t>
      </w:r>
    </w:p>
    <w:p w14:paraId="1A64F255" w14:textId="633722E6" w:rsidR="00AC7377" w:rsidRPr="00D1620E" w:rsidRDefault="00AC7377" w:rsidP="00AC7377">
      <w:pPr>
        <w:spacing w:before="100" w:beforeAutospacing="1" w:after="100" w:afterAutospacing="1" w:line="240" w:lineRule="auto"/>
        <w:rPr>
          <w:rFonts w:asciiTheme="minorEastAsia" w:hAnsiTheme="minorEastAsia" w:cstheme="minorHAnsi" w:hint="eastAsia"/>
          <w:kern w:val="0"/>
          <w:sz w:val="24"/>
          <w:szCs w:val="24"/>
          <w14:ligatures w14:val="none"/>
        </w:rPr>
      </w:pPr>
      <w:proofErr w:type="gramStart"/>
      <w:r w:rsidRPr="00AC7377">
        <w:rPr>
          <w:rFonts w:asciiTheme="minorEastAsia" w:hAnsiTheme="minorEastAsia" w:cstheme="minorHAnsi"/>
          <w:kern w:val="0"/>
          <w:sz w:val="24"/>
          <w:szCs w:val="24"/>
          <w14:ligatures w14:val="none"/>
        </w:rPr>
        <w:t>浮晶立场</w:t>
      </w:r>
      <w:proofErr w:type="gramEnd"/>
      <w:r w:rsidRPr="00AC7377">
        <w:rPr>
          <w:rFonts w:asciiTheme="minorEastAsia" w:hAnsiTheme="minorEastAsia" w:cstheme="minorHAnsi"/>
          <w:kern w:val="0"/>
          <w:sz w:val="24"/>
          <w:szCs w:val="24"/>
          <w14:ligatures w14:val="none"/>
        </w:rPr>
        <w:t>的强弱与稳定性，主要取决于三个因素：晶体质量、几何完整度与内部层纹的一致性。通常而言，质量越大，所能覆盖的立场范围越广，承载能力也越高；而晶体几何越完整、</w:t>
      </w:r>
      <w:proofErr w:type="gramStart"/>
      <w:r w:rsidRPr="00AC7377">
        <w:rPr>
          <w:rFonts w:asciiTheme="minorEastAsia" w:hAnsiTheme="minorEastAsia" w:cstheme="minorHAnsi"/>
          <w:kern w:val="0"/>
          <w:sz w:val="24"/>
          <w:szCs w:val="24"/>
          <w14:ligatures w14:val="none"/>
        </w:rPr>
        <w:t>边角越</w:t>
      </w:r>
      <w:proofErr w:type="gramEnd"/>
      <w:r w:rsidRPr="00AC7377">
        <w:rPr>
          <w:rFonts w:asciiTheme="minorEastAsia" w:hAnsiTheme="minorEastAsia" w:cstheme="minorHAnsi"/>
          <w:kern w:val="0"/>
          <w:sz w:val="24"/>
          <w:szCs w:val="24"/>
          <w14:ligatures w14:val="none"/>
        </w:rPr>
        <w:t>精密、内部纹理越均匀，其立场输出便越稳定、效率越高。与此同时，</w:t>
      </w:r>
      <w:proofErr w:type="gramStart"/>
      <w:r w:rsidRPr="00AC7377">
        <w:rPr>
          <w:rFonts w:asciiTheme="minorEastAsia" w:hAnsiTheme="minorEastAsia" w:cstheme="minorHAnsi"/>
          <w:kern w:val="0"/>
          <w:sz w:val="24"/>
          <w:szCs w:val="24"/>
          <w14:ligatures w14:val="none"/>
        </w:rPr>
        <w:t>浮晶之间</w:t>
      </w:r>
      <w:proofErr w:type="gramEnd"/>
      <w:r w:rsidRPr="00AC7377">
        <w:rPr>
          <w:rFonts w:asciiTheme="minorEastAsia" w:hAnsiTheme="minorEastAsia" w:cstheme="minorHAnsi"/>
          <w:kern w:val="0"/>
          <w:sz w:val="24"/>
          <w:szCs w:val="24"/>
          <w14:ligatures w14:val="none"/>
        </w:rPr>
        <w:t>并非简单互不干扰。差异过大</w:t>
      </w:r>
      <w:proofErr w:type="gramStart"/>
      <w:r w:rsidRPr="00AC7377">
        <w:rPr>
          <w:rFonts w:asciiTheme="minorEastAsia" w:hAnsiTheme="minorEastAsia" w:cstheme="minorHAnsi"/>
          <w:kern w:val="0"/>
          <w:sz w:val="24"/>
          <w:szCs w:val="24"/>
          <w14:ligatures w14:val="none"/>
        </w:rPr>
        <w:t>的浮晶会</w:t>
      </w:r>
      <w:proofErr w:type="gramEnd"/>
      <w:r w:rsidRPr="00AC7377">
        <w:rPr>
          <w:rFonts w:asciiTheme="minorEastAsia" w:hAnsiTheme="minorEastAsia" w:cstheme="minorHAnsi"/>
          <w:kern w:val="0"/>
          <w:sz w:val="24"/>
          <w:szCs w:val="24"/>
          <w14:ligatures w14:val="none"/>
        </w:rPr>
        <w:t>在立场上相互排斥，而当复数晶体在质量、结构与几何参数上高度接近，并按特定方位与间距嵌入同一系统时，它们之间便可能形成稳定共振，使整体升力效果获得远高于单晶的综合输出</w:t>
      </w:r>
      <w:r w:rsidRPr="00AC7377">
        <w:rPr>
          <w:rFonts w:asciiTheme="minorEastAsia" w:hAnsiTheme="minorEastAsia" w:cstheme="minorHAnsi" w:hint="eastAsia"/>
          <w:kern w:val="0"/>
          <w:sz w:val="24"/>
          <w:szCs w:val="24"/>
          <w14:ligatures w14:val="none"/>
        </w:rPr>
        <w:t>。</w:t>
      </w:r>
      <w:r w:rsidRPr="00AC7377">
        <w:rPr>
          <w:rFonts w:asciiTheme="minorEastAsia" w:hAnsiTheme="minorEastAsia" w:cstheme="minorHAnsi"/>
          <w:kern w:val="0"/>
          <w:sz w:val="24"/>
          <w:szCs w:val="24"/>
          <w14:ligatures w14:val="none"/>
        </w:rPr>
        <w:t>也正因如此，真正</w:t>
      </w:r>
      <w:proofErr w:type="gramStart"/>
      <w:r w:rsidRPr="00AC7377">
        <w:rPr>
          <w:rFonts w:asciiTheme="minorEastAsia" w:hAnsiTheme="minorEastAsia" w:cstheme="minorHAnsi"/>
          <w:kern w:val="0"/>
          <w:sz w:val="24"/>
          <w:szCs w:val="24"/>
          <w14:ligatures w14:val="none"/>
        </w:rPr>
        <w:t>支撑浮晶时代</w:t>
      </w:r>
      <w:proofErr w:type="gramEnd"/>
      <w:r w:rsidRPr="00AC7377">
        <w:rPr>
          <w:rFonts w:asciiTheme="minorEastAsia" w:hAnsiTheme="minorEastAsia" w:cstheme="minorHAnsi"/>
          <w:kern w:val="0"/>
          <w:sz w:val="24"/>
          <w:szCs w:val="24"/>
          <w14:ligatures w14:val="none"/>
        </w:rPr>
        <w:t>的并不是孤立的巨晶奇观，而是阵列化、标准化的</w:t>
      </w:r>
      <w:proofErr w:type="gramStart"/>
      <w:r w:rsidRPr="00AC7377">
        <w:rPr>
          <w:rFonts w:asciiTheme="minorEastAsia" w:hAnsiTheme="minorEastAsia" w:cstheme="minorHAnsi"/>
          <w:kern w:val="0"/>
          <w:sz w:val="24"/>
          <w:szCs w:val="24"/>
          <w14:ligatures w14:val="none"/>
        </w:rPr>
        <w:t>浮晶工程</w:t>
      </w:r>
      <w:proofErr w:type="gramEnd"/>
      <w:r w:rsidRPr="00AC7377">
        <w:rPr>
          <w:rFonts w:asciiTheme="minorEastAsia" w:hAnsiTheme="minorEastAsia" w:cstheme="minorHAnsi"/>
          <w:kern w:val="0"/>
          <w:sz w:val="24"/>
          <w:szCs w:val="24"/>
          <w14:ligatures w14:val="none"/>
        </w:rPr>
        <w:t>体系。多数天然原矿只能用于轻型减重、局部平衡与低强度升举；唯有经过严格筛选、切割、整形与校准的高阶浮晶，才有资格进入大型飞艇、浮空塔基、军用空舰与重型平台的核心结构。</w:t>
      </w:r>
      <w:proofErr w:type="gramStart"/>
      <w:r w:rsidRPr="00AC7377">
        <w:rPr>
          <w:rFonts w:asciiTheme="minorEastAsia" w:hAnsiTheme="minorEastAsia" w:cstheme="minorHAnsi"/>
          <w:kern w:val="0"/>
          <w:sz w:val="24"/>
          <w:szCs w:val="24"/>
          <w14:ligatures w14:val="none"/>
        </w:rPr>
        <w:t>浮晶文明</w:t>
      </w:r>
      <w:proofErr w:type="gramEnd"/>
      <w:r w:rsidRPr="00AC7377">
        <w:rPr>
          <w:rFonts w:asciiTheme="minorEastAsia" w:hAnsiTheme="minorEastAsia" w:cstheme="minorHAnsi"/>
          <w:kern w:val="0"/>
          <w:sz w:val="24"/>
          <w:szCs w:val="24"/>
          <w14:ligatures w14:val="none"/>
        </w:rPr>
        <w:t>从一开始便不是单纯的资源文明，而是典型的加工文明：决定国家强弱的，从来不只是矿脉数量，更是其晶体学、切割工艺、精密制造与长期维护能力</w:t>
      </w:r>
      <w:r w:rsidRPr="00AC7377">
        <w:rPr>
          <w:rFonts w:asciiTheme="minorEastAsia" w:hAnsiTheme="minorEastAsia" w:cstheme="minorHAnsi" w:hint="eastAsia"/>
          <w:kern w:val="0"/>
          <w:sz w:val="24"/>
          <w:szCs w:val="24"/>
          <w14:ligatures w14:val="none"/>
        </w:rPr>
        <w:t>。</w:t>
      </w:r>
    </w:p>
    <w:p w14:paraId="344E1951" w14:textId="77777777" w:rsidR="00B2352D" w:rsidRDefault="00B2352D"/>
    <w:sectPr w:rsidR="00B235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377"/>
    <w:rsid w:val="000D746C"/>
    <w:rsid w:val="002576A8"/>
    <w:rsid w:val="00673EB0"/>
    <w:rsid w:val="006E6C17"/>
    <w:rsid w:val="00771FF8"/>
    <w:rsid w:val="009670A7"/>
    <w:rsid w:val="00AC7377"/>
    <w:rsid w:val="00AD0584"/>
    <w:rsid w:val="00B2352D"/>
    <w:rsid w:val="00BA0BCC"/>
    <w:rsid w:val="00D351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EEAB0"/>
  <w15:chartTrackingRefBased/>
  <w15:docId w15:val="{C04B8BC9-BAA9-4F90-BD7A-89AC24093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377"/>
    <w:pPr>
      <w:spacing w:line="259" w:lineRule="auto"/>
    </w:pPr>
    <w:rPr>
      <w:sz w:val="22"/>
      <w:szCs w:val="22"/>
    </w:rPr>
  </w:style>
  <w:style w:type="paragraph" w:styleId="Heading1">
    <w:name w:val="heading 1"/>
    <w:basedOn w:val="Normal"/>
    <w:next w:val="Normal"/>
    <w:link w:val="Heading1Char"/>
    <w:uiPriority w:val="9"/>
    <w:qFormat/>
    <w:rsid w:val="00AC7377"/>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7377"/>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7377"/>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377"/>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AC7377"/>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AC7377"/>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AC7377"/>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AC7377"/>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AC7377"/>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3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73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73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3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3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377"/>
    <w:rPr>
      <w:rFonts w:eastAsiaTheme="majorEastAsia" w:cstheme="majorBidi"/>
      <w:color w:val="272727" w:themeColor="text1" w:themeTint="D8"/>
    </w:rPr>
  </w:style>
  <w:style w:type="paragraph" w:styleId="Title">
    <w:name w:val="Title"/>
    <w:basedOn w:val="Normal"/>
    <w:next w:val="Normal"/>
    <w:link w:val="TitleChar"/>
    <w:uiPriority w:val="10"/>
    <w:qFormat/>
    <w:rsid w:val="00AC7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377"/>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377"/>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AC7377"/>
    <w:rPr>
      <w:i/>
      <w:iCs/>
      <w:color w:val="404040" w:themeColor="text1" w:themeTint="BF"/>
    </w:rPr>
  </w:style>
  <w:style w:type="paragraph" w:styleId="ListParagraph">
    <w:name w:val="List Paragraph"/>
    <w:basedOn w:val="Normal"/>
    <w:uiPriority w:val="34"/>
    <w:qFormat/>
    <w:rsid w:val="00AC7377"/>
    <w:pPr>
      <w:spacing w:line="278" w:lineRule="auto"/>
      <w:ind w:left="720"/>
      <w:contextualSpacing/>
    </w:pPr>
    <w:rPr>
      <w:sz w:val="24"/>
      <w:szCs w:val="24"/>
    </w:rPr>
  </w:style>
  <w:style w:type="character" w:styleId="IntenseEmphasis">
    <w:name w:val="Intense Emphasis"/>
    <w:basedOn w:val="DefaultParagraphFont"/>
    <w:uiPriority w:val="21"/>
    <w:qFormat/>
    <w:rsid w:val="00AC7377"/>
    <w:rPr>
      <w:i/>
      <w:iCs/>
      <w:color w:val="2F5496" w:themeColor="accent1" w:themeShade="BF"/>
    </w:rPr>
  </w:style>
  <w:style w:type="paragraph" w:styleId="IntenseQuote">
    <w:name w:val="Intense Quote"/>
    <w:basedOn w:val="Normal"/>
    <w:next w:val="Normal"/>
    <w:link w:val="IntenseQuoteChar"/>
    <w:uiPriority w:val="30"/>
    <w:qFormat/>
    <w:rsid w:val="00AC7377"/>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AC7377"/>
    <w:rPr>
      <w:i/>
      <w:iCs/>
      <w:color w:val="2F5496" w:themeColor="accent1" w:themeShade="BF"/>
    </w:rPr>
  </w:style>
  <w:style w:type="character" w:styleId="IntenseReference">
    <w:name w:val="Intense Reference"/>
    <w:basedOn w:val="DefaultParagraphFont"/>
    <w:uiPriority w:val="32"/>
    <w:qFormat/>
    <w:rsid w:val="00AC73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133</Words>
  <Characters>761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S</dc:creator>
  <cp:keywords/>
  <dc:description/>
  <cp:lastModifiedBy>Joe S</cp:lastModifiedBy>
  <cp:revision>1</cp:revision>
  <dcterms:created xsi:type="dcterms:W3CDTF">2026-03-21T14:47:00Z</dcterms:created>
  <dcterms:modified xsi:type="dcterms:W3CDTF">2026-03-21T15:46:00Z</dcterms:modified>
</cp:coreProperties>
</file>