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ClientFlow System Audit &amp; Debug Report</w:t>
      </w:r>
    </w:p>
    <w:p>
      <w:pPr>
        <w:jc w:val="center"/>
      </w:pPr>
      <w:r>
        <w:rPr>
          <w:i/>
        </w:rPr>
        <w:t>Pre-development fault analysis</w:t>
      </w:r>
    </w:p>
    <w:p>
      <w:pPr>
        <w:pStyle w:val="Heading1"/>
      </w:pPr>
      <w:r>
        <w:t>Audit scope</w:t>
      </w:r>
    </w:p>
    <w:p>
      <w:r>
        <w:t>Reviewed the proposed workflow, architecture, modules, data model, APIs, integrations and sprint plan before implementation.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ID</w:t>
            </w:r>
          </w:p>
        </w:tc>
        <w:tc>
          <w:tcPr>
            <w:tcW w:type="dxa" w:w="2016"/>
            <w:shd w:fill="D9EAF7"/>
          </w:tcPr>
          <w:p>
            <w:r>
              <w:t>Severity</w:t>
            </w:r>
          </w:p>
        </w:tc>
        <w:tc>
          <w:tcPr>
            <w:tcW w:type="dxa" w:w="2016"/>
            <w:shd w:fill="D9EAF7"/>
          </w:tcPr>
          <w:p>
            <w:r>
              <w:t>Fault</w:t>
            </w:r>
          </w:p>
        </w:tc>
        <w:tc>
          <w:tcPr>
            <w:tcW w:type="dxa" w:w="2016"/>
            <w:shd w:fill="D9EAF7"/>
          </w:tcPr>
          <w:p>
            <w:r>
              <w:t>Impact</w:t>
            </w:r>
          </w:p>
        </w:tc>
        <w:tc>
          <w:tcPr>
            <w:tcW w:type="dxa" w:w="2016"/>
            <w:shd w:fill="D9EAF7"/>
          </w:tcPr>
          <w:p>
            <w:r>
              <w:t>Correction</w:t>
            </w:r>
          </w:p>
        </w:tc>
      </w:tr>
      <w:tr>
        <w:tc>
          <w:tcPr>
            <w:tcW w:type="dxa" w:w="2016"/>
            <w:vAlign w:val="top"/>
          </w:tcPr>
          <w:p>
            <w:r>
              <w:t>CF-01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Credential leakage</w:t>
            </w:r>
          </w:p>
        </w:tc>
        <w:tc>
          <w:tcPr>
            <w:tcW w:type="dxa" w:w="2016"/>
            <w:vAlign w:val="top"/>
          </w:tcPr>
          <w:p>
            <w:r>
              <w:t>Raw platform passwords/API secrets must never be collected.</w:t>
            </w:r>
          </w:p>
        </w:tc>
        <w:tc>
          <w:tcPr>
            <w:tcW w:type="dxa" w:w="2016"/>
            <w:vAlign w:val="top"/>
          </w:tcPr>
          <w:p>
            <w:r>
              <w:t>Collect account IDs/access confirmation only; use a dedicated secrets manager only if truly required.</w:t>
            </w:r>
          </w:p>
        </w:tc>
      </w:tr>
      <w:tr>
        <w:tc>
          <w:tcPr>
            <w:tcW w:type="dxa" w:w="2016"/>
            <w:vAlign w:val="top"/>
          </w:tcPr>
          <w:p>
            <w:r>
              <w:t>CF-02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Tenant isolation</w:t>
            </w:r>
          </w:p>
        </w:tc>
        <w:tc>
          <w:tcPr>
            <w:tcW w:type="dxa" w:w="2016"/>
            <w:vAlign w:val="top"/>
          </w:tcPr>
          <w:p>
            <w:r>
              <w:t>Changing object IDs must not expose another client's data.</w:t>
            </w:r>
          </w:p>
        </w:tc>
        <w:tc>
          <w:tcPr>
            <w:tcW w:type="dxa" w:w="2016"/>
            <w:vAlign w:val="top"/>
          </w:tcPr>
          <w:p>
            <w:r>
              <w:t>Enforce ownership/tenant checks on every server-side read/write.</w:t>
            </w:r>
          </w:p>
        </w:tc>
      </w:tr>
      <w:tr>
        <w:tc>
          <w:tcPr>
            <w:tcW w:type="dxa" w:w="2016"/>
            <w:vAlign w:val="top"/>
          </w:tcPr>
          <w:p>
            <w:r>
              <w:t>CF-03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Malicious uploads</w:t>
            </w:r>
          </w:p>
        </w:tc>
        <w:tc>
          <w:tcPr>
            <w:tcW w:type="dxa" w:w="2016"/>
            <w:vAlign w:val="top"/>
          </w:tcPr>
          <w:p>
            <w:r>
              <w:t>Executable/harmful files may be uploaded.</w:t>
            </w:r>
          </w:p>
        </w:tc>
        <w:tc>
          <w:tcPr>
            <w:tcW w:type="dxa" w:w="2016"/>
            <w:vAlign w:val="top"/>
          </w:tcPr>
          <w:p>
            <w:r>
              <w:t>Allowlist types, validate signatures, limit size, randomize names, safe storage and scan where available.</w:t>
            </w:r>
          </w:p>
        </w:tc>
      </w:tr>
      <w:tr>
        <w:tc>
          <w:tcPr>
            <w:tcW w:type="dxa" w:w="2016"/>
            <w:vAlign w:val="top"/>
          </w:tcPr>
          <w:p>
            <w:r>
              <w:t>CF-04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Payment security</w:t>
            </w:r>
          </w:p>
        </w:tc>
        <w:tc>
          <w:tcPr>
            <w:tcW w:type="dxa" w:w="2016"/>
            <w:vAlign w:val="top"/>
          </w:tcPr>
          <w:p>
            <w:r>
              <w:t>Card data must not be stored by ClientFlow.</w:t>
            </w:r>
          </w:p>
        </w:tc>
        <w:tc>
          <w:tcPr>
            <w:tcW w:type="dxa" w:w="2016"/>
            <w:vAlign w:val="top"/>
          </w:tcPr>
          <w:p>
            <w:r>
              <w:t>Use hosted/tokenized checkout; store provider references and verify signed idempotent webhooks.</w:t>
            </w:r>
          </w:p>
        </w:tc>
      </w:tr>
      <w:tr>
        <w:tc>
          <w:tcPr>
            <w:tcW w:type="dxa" w:w="2016"/>
            <w:vAlign w:val="top"/>
          </w:tcPr>
          <w:p>
            <w:r>
              <w:t>CF-05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Signature integrity</w:t>
            </w:r>
          </w:p>
        </w:tc>
        <w:tc>
          <w:tcPr>
            <w:tcW w:type="dxa" w:w="2016"/>
            <w:vAlign w:val="top"/>
          </w:tcPr>
          <w:p>
            <w:r>
              <w:t>A checkbox is not a production e-signature.</w:t>
            </w:r>
          </w:p>
        </w:tc>
        <w:tc>
          <w:tcPr>
            <w:tcW w:type="dxa" w:w="2016"/>
            <w:vAlign w:val="top"/>
          </w:tcPr>
          <w:p>
            <w:r>
              <w:t>Use e-sign provider or clearly mark academic signing as simulated; bind to immutable contract version.</w:t>
            </w:r>
          </w:p>
        </w:tc>
      </w:tr>
      <w:tr>
        <w:tc>
          <w:tcPr>
            <w:tcW w:type="dxa" w:w="2016"/>
            <w:vAlign w:val="top"/>
          </w:tcPr>
          <w:p>
            <w:r>
              <w:t>CF-06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Invitation security</w:t>
            </w:r>
          </w:p>
        </w:tc>
        <w:tc>
          <w:tcPr>
            <w:tcW w:type="dxa" w:w="2016"/>
            <w:vAlign w:val="top"/>
          </w:tcPr>
          <w:p>
            <w:r>
              <w:t>Reusable/predictable onboarding links can be abused.</w:t>
            </w:r>
          </w:p>
        </w:tc>
        <w:tc>
          <w:tcPr>
            <w:tcW w:type="dxa" w:w="2016"/>
            <w:vAlign w:val="top"/>
          </w:tcPr>
          <w:p>
            <w:r>
              <w:t>Use random, expiring, single-use tokens; store token hashes.</w:t>
            </w:r>
          </w:p>
        </w:tc>
      </w:tr>
      <w:tr>
        <w:tc>
          <w:tcPr>
            <w:tcW w:type="dxa" w:w="2016"/>
            <w:vAlign w:val="top"/>
          </w:tcPr>
          <w:p>
            <w:r>
              <w:t>CF-07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Workflow state</w:t>
            </w:r>
          </w:p>
        </w:tc>
        <w:tc>
          <w:tcPr>
            <w:tcW w:type="dxa" w:w="2016"/>
            <w:vAlign w:val="top"/>
          </w:tcPr>
          <w:p>
            <w:r>
              <w:t>Payment/contract/onboarding can become inconsistent.</w:t>
            </w:r>
          </w:p>
        </w:tc>
        <w:tc>
          <w:tcPr>
            <w:tcW w:type="dxa" w:w="2016"/>
            <w:vAlign w:val="top"/>
          </w:tcPr>
          <w:p>
            <w:r>
              <w:t>Use explicit state machines and prerequisite validation.</w:t>
            </w:r>
          </w:p>
        </w:tc>
      </w:tr>
      <w:tr>
        <w:tc>
          <w:tcPr>
            <w:tcW w:type="dxa" w:w="2016"/>
            <w:vAlign w:val="top"/>
          </w:tcPr>
          <w:p>
            <w:r>
              <w:t>CF-08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Template mutation</w:t>
            </w:r>
          </w:p>
        </w:tc>
        <w:tc>
          <w:tcPr>
            <w:tcW w:type="dxa" w:w="2016"/>
            <w:vAlign w:val="top"/>
          </w:tcPr>
          <w:p>
            <w:r>
              <w:t>Template edits can change active onboarding unexpectedly.</w:t>
            </w:r>
          </w:p>
        </w:tc>
        <w:tc>
          <w:tcPr>
            <w:tcW w:type="dxa" w:w="2016"/>
            <w:vAlign w:val="top"/>
          </w:tcPr>
          <w:p>
            <w:r>
              <w:t>Version templates and snapshot assigned steps.</w:t>
            </w:r>
          </w:p>
        </w:tc>
      </w:tr>
      <w:tr>
        <w:tc>
          <w:tcPr>
            <w:tcW w:type="dxa" w:w="2016"/>
            <w:vAlign w:val="top"/>
          </w:tcPr>
          <w:p>
            <w:r>
              <w:t>CF-09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Authorization matrix</w:t>
            </w:r>
          </w:p>
        </w:tc>
        <w:tc>
          <w:tcPr>
            <w:tcW w:type="dxa" w:w="2016"/>
            <w:vAlign w:val="top"/>
          </w:tcPr>
          <w:p>
            <w:r>
              <w:t>Roles alone do not define endpoint permissions.</w:t>
            </w:r>
          </w:p>
        </w:tc>
        <w:tc>
          <w:tcPr>
            <w:tcW w:type="dxa" w:w="2016"/>
            <w:vAlign w:val="top"/>
          </w:tcPr>
          <w:p>
            <w:r>
              <w:t>Create and enforce role/object permission rules.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CF-10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Audit integrity</w:t>
            </w:r>
          </w:p>
        </w:tc>
        <w:tc>
          <w:tcPr>
            <w:tcW w:type="dxa" w:w="2016"/>
            <w:vAlign w:val="top"/>
          </w:tcPr>
          <w:p>
            <w:r>
              <w:t>Editable logs weaken accountability.</w:t>
            </w:r>
          </w:p>
        </w:tc>
        <w:tc>
          <w:tcPr>
            <w:tcW w:type="dxa" w:w="2016"/>
            <w:vAlign w:val="top"/>
          </w:tcPr>
          <w:p>
            <w:r>
              <w:t>Make critical audit events append-only.</w:t>
            </w:r>
          </w:p>
        </w:tc>
      </w:tr>
      <w:tr>
        <w:tc>
          <w:tcPr>
            <w:tcW w:type="dxa" w:w="2016"/>
            <w:vAlign w:val="top"/>
          </w:tcPr>
          <w:p>
            <w:r>
              <w:t>CF-11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Reminder duplication</w:t>
            </w:r>
          </w:p>
        </w:tc>
        <w:tc>
          <w:tcPr>
            <w:tcW w:type="dxa" w:w="2016"/>
            <w:vAlign w:val="top"/>
          </w:tcPr>
          <w:p>
            <w:r>
              <w:t>Retries may send duplicate reminders.</w:t>
            </w:r>
          </w:p>
        </w:tc>
        <w:tc>
          <w:tcPr>
            <w:tcW w:type="dxa" w:w="2016"/>
            <w:vAlign w:val="top"/>
          </w:tcPr>
          <w:p>
            <w:r>
              <w:t>Use unique idempotency keys.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CF-12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Email reliability</w:t>
            </w:r>
          </w:p>
        </w:tc>
        <w:tc>
          <w:tcPr>
            <w:tcW w:type="dxa" w:w="2016"/>
            <w:vAlign w:val="top"/>
          </w:tcPr>
          <w:p>
            <w:r>
              <w:t>Email needs retries and delivery status.</w:t>
            </w:r>
          </w:p>
        </w:tc>
        <w:tc>
          <w:tcPr>
            <w:tcW w:type="dxa" w:w="2016"/>
            <w:vAlign w:val="top"/>
          </w:tcPr>
          <w:p>
            <w:r>
              <w:t>Use provider abstraction and outbox/queue semantics.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CF-13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Timezone handling</w:t>
            </w:r>
          </w:p>
        </w:tc>
        <w:tc>
          <w:tcPr>
            <w:tcW w:type="dxa" w:w="2016"/>
            <w:vAlign w:val="top"/>
          </w:tcPr>
          <w:p>
            <w:r>
              <w:t>Due dates can display incorrectly.</w:t>
            </w:r>
          </w:p>
        </w:tc>
        <w:tc>
          <w:tcPr>
            <w:tcW w:type="dxa" w:w="2016"/>
            <w:vAlign w:val="top"/>
          </w:tcPr>
          <w:p>
            <w:r>
              <w:t>Store UTC plus explicit display timezone.</w:t>
            </w:r>
          </w:p>
        </w:tc>
      </w:tr>
      <w:tr>
        <w:tc>
          <w:tcPr>
            <w:tcW w:type="dxa" w:w="2016"/>
            <w:vAlign w:val="top"/>
          </w:tcPr>
          <w:p>
            <w:r>
              <w:t>CF-14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Concurrency</w:t>
            </w:r>
          </w:p>
        </w:tc>
        <w:tc>
          <w:tcPr>
            <w:tcW w:type="dxa" w:w="2016"/>
            <w:vAlign w:val="top"/>
          </w:tcPr>
          <w:p>
            <w:r>
              <w:t>Simultaneous updates can create invalid states.</w:t>
            </w:r>
          </w:p>
        </w:tc>
        <w:tc>
          <w:tcPr>
            <w:tcW w:type="dxa" w:w="2016"/>
            <w:vAlign w:val="top"/>
          </w:tcPr>
          <w:p>
            <w:r>
              <w:t>Use transactions and optimistic locking/version checks.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CF-15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PII retention</w:t>
            </w:r>
          </w:p>
        </w:tc>
        <w:tc>
          <w:tcPr>
            <w:tcW w:type="dxa" w:w="2016"/>
            <w:vAlign w:val="top"/>
          </w:tcPr>
          <w:p>
            <w:r>
              <w:t>Client data needs lifecycle rules.</w:t>
            </w:r>
          </w:p>
        </w:tc>
        <w:tc>
          <w:tcPr>
            <w:tcW w:type="dxa" w:w="2016"/>
            <w:vAlign w:val="top"/>
          </w:tcPr>
          <w:p>
            <w:r>
              <w:t>Define retention, export, deletion and access policies.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CF-16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Error leakage</w:t>
            </w:r>
          </w:p>
        </w:tc>
        <w:tc>
          <w:tcPr>
            <w:tcW w:type="dxa" w:w="2016"/>
            <w:vAlign w:val="top"/>
          </w:tcPr>
          <w:p>
            <w:r>
              <w:t>Raw DB errors can expose internals.</w:t>
            </w:r>
          </w:p>
        </w:tc>
        <w:tc>
          <w:tcPr>
            <w:tcW w:type="dxa" w:w="2016"/>
            <w:vAlign w:val="top"/>
          </w:tcPr>
          <w:p>
            <w:r>
              <w:t>Centralize safe errors and structured logs.</w:t>
            </w:r>
          </w:p>
        </w:tc>
      </w:tr>
      <w:tr>
        <w:tc>
          <w:tcPr>
            <w:tcW w:type="dxa" w:w="2016"/>
            <w:vAlign w:val="top"/>
          </w:tcPr>
          <w:p>
            <w:r>
              <w:t>CF-17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Observability</w:t>
            </w:r>
          </w:p>
        </w:tc>
        <w:tc>
          <w:tcPr>
            <w:tcW w:type="dxa" w:w="2016"/>
            <w:vAlign w:val="top"/>
          </w:tcPr>
          <w:p>
            <w:r>
              <w:t>Failures may go unnoticed.</w:t>
            </w:r>
          </w:p>
        </w:tc>
        <w:tc>
          <w:tcPr>
            <w:tcW w:type="dxa" w:w="2016"/>
            <w:vAlign w:val="top"/>
          </w:tcPr>
          <w:p>
            <w:r>
              <w:t>Add health checks, structured logs and service-failure metrics.</w:t>
            </w:r>
          </w:p>
        </w:tc>
      </w:tr>
    </w:tbl>
    <w:p>
      <w:pPr>
        <w:pStyle w:val="Heading1"/>
      </w:pPr>
      <w:r>
        <w:t>Corrected readiness rule</w:t>
      </w:r>
    </w:p>
    <w:p>
      <w:r>
        <w:t>READY_TO_START is allowed only when configured payment requirements, exact contract/signature requirements, all required onboarding steps and team review conditions are satisfied.</w:t>
      </w:r>
    </w:p>
    <w:p>
      <w:pPr>
        <w:pStyle w:val="Heading1"/>
      </w:pPr>
      <w:r>
        <w:t>Release blockers</w:t>
      </w:r>
    </w:p>
    <w:p>
      <w:r>
        <w:t>CF-01 through CF-04 are critical and must be fixed and tested before production.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