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ClientFlow Test Cases</w:t>
      </w:r>
    </w:p>
    <w:p>
      <w:pPr>
        <w:jc w:val="center"/>
      </w:pPr>
      <w:r>
        <w:rPr>
          <w:i/>
        </w:rPr>
        <w:t>Functional, security, integration and workflow tests</w:t>
      </w:r>
    </w:p>
    <w:p>
      <w:pPr>
        <w:pStyle w:val="Heading1"/>
      </w:pPr>
      <w:r>
        <w:t>Test strategy</w:t>
      </w:r>
    </w:p>
    <w:p>
      <w:r>
        <w:t>Use unit, API, integration and end-to-end tests. Critical security/payment tests are release blockers.</w:t>
      </w:r>
    </w:p>
    <w:p>
      <w:pPr>
        <w:pStyle w:val="Heading1"/>
      </w:pPr>
      <w:r>
        <w:t>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AF7"/>
          </w:tcPr>
          <w:p>
            <w:r>
              <w:t>ID</w:t>
            </w:r>
          </w:p>
        </w:tc>
        <w:tc>
          <w:tcPr>
            <w:tcW w:type="dxa" w:w="2016"/>
            <w:shd w:fill="D9EAF7"/>
          </w:tcPr>
          <w:p>
            <w:r>
              <w:t>Area</w:t>
            </w:r>
          </w:p>
        </w:tc>
        <w:tc>
          <w:tcPr>
            <w:tcW w:type="dxa" w:w="2016"/>
            <w:shd w:fill="D9EAF7"/>
          </w:tcPr>
          <w:p>
            <w:r>
              <w:t>Scenario</w:t>
            </w:r>
          </w:p>
        </w:tc>
        <w:tc>
          <w:tcPr>
            <w:tcW w:type="dxa" w:w="2016"/>
            <w:shd w:fill="D9EAF7"/>
          </w:tcPr>
          <w:p>
            <w:r>
              <w:t>Expected</w:t>
            </w:r>
          </w:p>
        </w:tc>
        <w:tc>
          <w:tcPr>
            <w:tcW w:type="dxa" w:w="2016"/>
            <w:shd w:fill="D9EAF7"/>
          </w:tcPr>
          <w:p>
            <w:r>
              <w:t>Priority</w:t>
            </w:r>
          </w:p>
        </w:tc>
      </w:tr>
      <w:tr>
        <w:tc>
          <w:tcPr>
            <w:tcW w:type="dxa" w:w="2016"/>
            <w:vAlign w:val="top"/>
          </w:tcPr>
          <w:p>
            <w:r>
              <w:t>TC-001</w:t>
            </w:r>
          </w:p>
        </w:tc>
        <w:tc>
          <w:tcPr>
            <w:tcW w:type="dxa" w:w="2016"/>
            <w:vAlign w:val="top"/>
          </w:tcPr>
          <w:p>
            <w:r>
              <w:t>Authentication</w:t>
            </w:r>
          </w:p>
        </w:tc>
        <w:tc>
          <w:tcPr>
            <w:tcW w:type="dxa" w:w="2016"/>
            <w:vAlign w:val="top"/>
          </w:tcPr>
          <w:p>
            <w:r>
              <w:t>Valid login</w:t>
            </w:r>
          </w:p>
        </w:tc>
        <w:tc>
          <w:tcPr>
            <w:tcW w:type="dxa" w:w="2016"/>
            <w:vAlign w:val="top"/>
          </w:tcPr>
          <w:p>
            <w:r>
              <w:t>Correct dashboard</w:t>
            </w:r>
          </w:p>
        </w:tc>
        <w:tc>
          <w:tcPr>
            <w:tcW w:type="dxa" w:w="2016"/>
            <w:vAlign w:val="top"/>
          </w:tcPr>
          <w:p>
            <w:r>
              <w:t>High</w:t>
            </w:r>
          </w:p>
        </w:tc>
      </w:tr>
      <w:tr>
        <w:tc>
          <w:tcPr>
            <w:tcW w:type="dxa" w:w="2016"/>
            <w:vAlign w:val="top"/>
          </w:tcPr>
          <w:p>
            <w:r>
              <w:t>TC-002</w:t>
            </w:r>
          </w:p>
        </w:tc>
        <w:tc>
          <w:tcPr>
            <w:tcW w:type="dxa" w:w="2016"/>
            <w:vAlign w:val="top"/>
          </w:tcPr>
          <w:p>
            <w:r>
              <w:t>Authentication</w:t>
            </w:r>
          </w:p>
        </w:tc>
        <w:tc>
          <w:tcPr>
            <w:tcW w:type="dxa" w:w="2016"/>
            <w:vAlign w:val="top"/>
          </w:tcPr>
          <w:p>
            <w:r>
              <w:t>Invalid password</w:t>
            </w:r>
          </w:p>
        </w:tc>
        <w:tc>
          <w:tcPr>
            <w:tcW w:type="dxa" w:w="2016"/>
            <w:vAlign w:val="top"/>
          </w:tcPr>
          <w:p>
            <w:r>
              <w:t>Generic error; no secret disclosure</w:t>
            </w:r>
          </w:p>
        </w:tc>
        <w:tc>
          <w:tcPr>
            <w:tcW w:type="dxa" w:w="2016"/>
            <w:vAlign w:val="top"/>
          </w:tcPr>
          <w:p>
            <w:r>
              <w:t>High</w:t>
            </w:r>
          </w:p>
        </w:tc>
      </w:tr>
      <w:tr>
        <w:tc>
          <w:tcPr>
            <w:tcW w:type="dxa" w:w="2016"/>
            <w:vAlign w:val="top"/>
          </w:tcPr>
          <w:p>
            <w:r>
              <w:t>TC-003</w:t>
            </w:r>
          </w:p>
        </w:tc>
        <w:tc>
          <w:tcPr>
            <w:tcW w:type="dxa" w:w="2016"/>
            <w:vAlign w:val="top"/>
          </w:tcPr>
          <w:p>
            <w:r>
              <w:t>Authorization</w:t>
            </w:r>
          </w:p>
        </w:tc>
        <w:tc>
          <w:tcPr>
            <w:tcW w:type="dxa" w:w="2016"/>
            <w:vAlign w:val="top"/>
          </w:tcPr>
          <w:p>
            <w:r>
              <w:t>Client requests another client's project</w:t>
            </w:r>
          </w:p>
        </w:tc>
        <w:tc>
          <w:tcPr>
            <w:tcW w:type="dxa" w:w="2016"/>
            <w:vAlign w:val="top"/>
          </w:tcPr>
          <w:p>
            <w:r>
              <w:t>Denied; no disclosure</w:t>
            </w:r>
          </w:p>
        </w:tc>
        <w:tc>
          <w:tcPr>
            <w:tcW w:type="dxa" w:w="2016"/>
            <w:vAlign w:val="top"/>
          </w:tcPr>
          <w:p>
            <w:r>
              <w:t>Critical</w:t>
            </w:r>
          </w:p>
        </w:tc>
      </w:tr>
      <w:tr>
        <w:tc>
          <w:tcPr>
            <w:tcW w:type="dxa" w:w="2016"/>
            <w:vAlign w:val="top"/>
          </w:tcPr>
          <w:p>
            <w:r>
              <w:t>TC-004</w:t>
            </w:r>
          </w:p>
        </w:tc>
        <w:tc>
          <w:tcPr>
            <w:tcW w:type="dxa" w:w="2016"/>
            <w:vAlign w:val="top"/>
          </w:tcPr>
          <w:p>
            <w:r>
              <w:t>Authorization</w:t>
            </w:r>
          </w:p>
        </w:tc>
        <w:tc>
          <w:tcPr>
            <w:tcW w:type="dxa" w:w="2016"/>
            <w:vAlign w:val="top"/>
          </w:tcPr>
          <w:p>
            <w:r>
              <w:t>Team member requests unassigned project</w:t>
            </w:r>
          </w:p>
        </w:tc>
        <w:tc>
          <w:tcPr>
            <w:tcW w:type="dxa" w:w="2016"/>
            <w:vAlign w:val="top"/>
          </w:tcPr>
          <w:p>
            <w:r>
              <w:t>Denied unless permitted</w:t>
            </w:r>
          </w:p>
        </w:tc>
        <w:tc>
          <w:tcPr>
            <w:tcW w:type="dxa" w:w="2016"/>
            <w:vAlign w:val="top"/>
          </w:tcPr>
          <w:p>
            <w:r>
              <w:t>Critical</w:t>
            </w:r>
          </w:p>
        </w:tc>
      </w:tr>
      <w:tr>
        <w:tc>
          <w:tcPr>
            <w:tcW w:type="dxa" w:w="2016"/>
            <w:vAlign w:val="top"/>
          </w:tcPr>
          <w:p>
            <w:r>
              <w:t>TC-005</w:t>
            </w:r>
          </w:p>
        </w:tc>
        <w:tc>
          <w:tcPr>
            <w:tcW w:type="dxa" w:w="2016"/>
            <w:vAlign w:val="top"/>
          </w:tcPr>
          <w:p>
            <w:r>
              <w:t>Token</w:t>
            </w:r>
          </w:p>
        </w:tc>
        <w:tc>
          <w:tcPr>
            <w:tcW w:type="dxa" w:w="2016"/>
            <w:vAlign w:val="top"/>
          </w:tcPr>
          <w:p>
            <w:r>
              <w:t>Expired invitation</w:t>
            </w:r>
          </w:p>
        </w:tc>
        <w:tc>
          <w:tcPr>
            <w:tcW w:type="dxa" w:w="2016"/>
            <w:vAlign w:val="top"/>
          </w:tcPr>
          <w:p>
            <w:r>
              <w:t>Rejected</w:t>
            </w:r>
          </w:p>
        </w:tc>
        <w:tc>
          <w:tcPr>
            <w:tcW w:type="dxa" w:w="2016"/>
            <w:vAlign w:val="top"/>
          </w:tcPr>
          <w:p>
            <w:r>
              <w:t>High</w:t>
            </w:r>
          </w:p>
        </w:tc>
      </w:tr>
      <w:tr>
        <w:tc>
          <w:tcPr>
            <w:tcW w:type="dxa" w:w="2016"/>
            <w:vAlign w:val="top"/>
          </w:tcPr>
          <w:p>
            <w:r>
              <w:t>TC-006</w:t>
            </w:r>
          </w:p>
        </w:tc>
        <w:tc>
          <w:tcPr>
            <w:tcW w:type="dxa" w:w="2016"/>
            <w:vAlign w:val="top"/>
          </w:tcPr>
          <w:p>
            <w:r>
              <w:t>Token</w:t>
            </w:r>
          </w:p>
        </w:tc>
        <w:tc>
          <w:tcPr>
            <w:tcW w:type="dxa" w:w="2016"/>
            <w:vAlign w:val="top"/>
          </w:tcPr>
          <w:p>
            <w:r>
              <w:t>Consumed invitation reused</w:t>
            </w:r>
          </w:p>
        </w:tc>
        <w:tc>
          <w:tcPr>
            <w:tcW w:type="dxa" w:w="2016"/>
            <w:vAlign w:val="top"/>
          </w:tcPr>
          <w:p>
            <w:r>
              <w:t>Rejected</w:t>
            </w:r>
          </w:p>
        </w:tc>
        <w:tc>
          <w:tcPr>
            <w:tcW w:type="dxa" w:w="2016"/>
            <w:vAlign w:val="top"/>
          </w:tcPr>
          <w:p>
            <w:r>
              <w:t>High</w:t>
            </w:r>
          </w:p>
        </w:tc>
      </w:tr>
      <w:tr>
        <w:tc>
          <w:tcPr>
            <w:tcW w:type="dxa" w:w="2016"/>
            <w:vAlign w:val="top"/>
          </w:tcPr>
          <w:p>
            <w:r>
              <w:t>TC-007</w:t>
            </w:r>
          </w:p>
        </w:tc>
        <w:tc>
          <w:tcPr>
            <w:tcW w:type="dxa" w:w="2016"/>
            <w:vAlign w:val="top"/>
          </w:tcPr>
          <w:p>
            <w:r>
              <w:t>Upload</w:t>
            </w:r>
          </w:p>
        </w:tc>
        <w:tc>
          <w:tcPr>
            <w:tcW w:type="dxa" w:w="2016"/>
            <w:vAlign w:val="top"/>
          </w:tcPr>
          <w:p>
            <w:r>
              <w:t>Executable renamed as image</w:t>
            </w:r>
          </w:p>
        </w:tc>
        <w:tc>
          <w:tcPr>
            <w:tcW w:type="dxa" w:w="2016"/>
            <w:vAlign w:val="top"/>
          </w:tcPr>
          <w:p>
            <w:r>
              <w:t>Rejected</w:t>
            </w:r>
          </w:p>
        </w:tc>
        <w:tc>
          <w:tcPr>
            <w:tcW w:type="dxa" w:w="2016"/>
            <w:vAlign w:val="top"/>
          </w:tcPr>
          <w:p>
            <w:r>
              <w:t>Critical</w:t>
            </w:r>
          </w:p>
        </w:tc>
      </w:tr>
      <w:tr>
        <w:tc>
          <w:tcPr>
            <w:tcW w:type="dxa" w:w="2016"/>
            <w:vAlign w:val="top"/>
          </w:tcPr>
          <w:p>
            <w:r>
              <w:t>TC-008</w:t>
            </w:r>
          </w:p>
        </w:tc>
        <w:tc>
          <w:tcPr>
            <w:tcW w:type="dxa" w:w="2016"/>
            <w:vAlign w:val="top"/>
          </w:tcPr>
          <w:p>
            <w:r>
              <w:t>Upload</w:t>
            </w:r>
          </w:p>
        </w:tc>
        <w:tc>
          <w:tcPr>
            <w:tcW w:type="dxa" w:w="2016"/>
            <w:vAlign w:val="top"/>
          </w:tcPr>
          <w:p>
            <w:r>
              <w:t>Oversized file</w:t>
            </w:r>
          </w:p>
        </w:tc>
        <w:tc>
          <w:tcPr>
            <w:tcW w:type="dxa" w:w="2016"/>
            <w:vAlign w:val="top"/>
          </w:tcPr>
          <w:p>
            <w:r>
              <w:t>Rejected</w:t>
            </w:r>
          </w:p>
        </w:tc>
        <w:tc>
          <w:tcPr>
            <w:tcW w:type="dxa" w:w="2016"/>
            <w:vAlign w:val="top"/>
          </w:tcPr>
          <w:p>
            <w:r>
              <w:t>High</w:t>
            </w:r>
          </w:p>
        </w:tc>
      </w:tr>
      <w:tr>
        <w:tc>
          <w:tcPr>
            <w:tcW w:type="dxa" w:w="2016"/>
            <w:vAlign w:val="top"/>
          </w:tcPr>
          <w:p>
            <w:r>
              <w:t>TC-009</w:t>
            </w:r>
          </w:p>
        </w:tc>
        <w:tc>
          <w:tcPr>
            <w:tcW w:type="dxa" w:w="2016"/>
            <w:vAlign w:val="top"/>
          </w:tcPr>
          <w:p>
            <w:r>
              <w:t>Upload</w:t>
            </w:r>
          </w:p>
        </w:tc>
        <w:tc>
          <w:tcPr>
            <w:tcW w:type="dxa" w:w="2016"/>
            <w:vAlign w:val="top"/>
          </w:tcPr>
          <w:p>
            <w:r>
              <w:t>Valid permitted file</w:t>
            </w:r>
          </w:p>
        </w:tc>
        <w:tc>
          <w:tcPr>
            <w:tcW w:type="dxa" w:w="2016"/>
            <w:vAlign w:val="top"/>
          </w:tcPr>
          <w:p>
            <w:r>
              <w:t>Stored safely/authorized</w:t>
            </w:r>
          </w:p>
        </w:tc>
        <w:tc>
          <w:tcPr>
            <w:tcW w:type="dxa" w:w="2016"/>
            <w:vAlign w:val="top"/>
          </w:tcPr>
          <w:p>
            <w:r>
              <w:t>High</w:t>
            </w:r>
          </w:p>
        </w:tc>
      </w:tr>
      <w:tr>
        <w:tc>
          <w:tcPr>
            <w:tcW w:type="dxa" w:w="2016"/>
            <w:vAlign w:val="top"/>
          </w:tcPr>
          <w:p>
            <w:r>
              <w:t>TC-010</w:t>
            </w:r>
          </w:p>
        </w:tc>
        <w:tc>
          <w:tcPr>
            <w:tcW w:type="dxa" w:w="2016"/>
            <w:vAlign w:val="top"/>
          </w:tcPr>
          <w:p>
            <w:r>
              <w:t>Payment</w:t>
            </w:r>
          </w:p>
        </w:tc>
        <w:tc>
          <w:tcPr>
            <w:tcW w:type="dxa" w:w="2016"/>
            <w:vAlign w:val="top"/>
          </w:tcPr>
          <w:p>
            <w:r>
              <w:t>Duplicate webhook</w:t>
            </w:r>
          </w:p>
        </w:tc>
        <w:tc>
          <w:tcPr>
            <w:tcW w:type="dxa" w:w="2016"/>
            <w:vAlign w:val="top"/>
          </w:tcPr>
          <w:p>
            <w:r>
              <w:t>Single state change</w:t>
            </w:r>
          </w:p>
        </w:tc>
        <w:tc>
          <w:tcPr>
            <w:tcW w:type="dxa" w:w="2016"/>
            <w:vAlign w:val="top"/>
          </w:tcPr>
          <w:p>
            <w:r>
              <w:t>Critical</w:t>
            </w:r>
          </w:p>
        </w:tc>
      </w:tr>
      <w:tr>
        <w:tc>
          <w:tcPr>
            <w:tcW w:type="dxa" w:w="2016"/>
            <w:vAlign w:val="top"/>
          </w:tcPr>
          <w:p>
            <w:r>
              <w:t>TC-011</w:t>
            </w:r>
          </w:p>
        </w:tc>
        <w:tc>
          <w:tcPr>
            <w:tcW w:type="dxa" w:w="2016"/>
            <w:vAlign w:val="top"/>
          </w:tcPr>
          <w:p>
            <w:r>
              <w:t>Payment</w:t>
            </w:r>
          </w:p>
        </w:tc>
        <w:tc>
          <w:tcPr>
            <w:tcW w:type="dxa" w:w="2016"/>
            <w:vAlign w:val="top"/>
          </w:tcPr>
          <w:p>
            <w:r>
              <w:t>Forged webhook</w:t>
            </w:r>
          </w:p>
        </w:tc>
        <w:tc>
          <w:tcPr>
            <w:tcW w:type="dxa" w:w="2016"/>
            <w:vAlign w:val="top"/>
          </w:tcPr>
          <w:p>
            <w:r>
              <w:t>Rejected/logged</w:t>
            </w:r>
          </w:p>
        </w:tc>
        <w:tc>
          <w:tcPr>
            <w:tcW w:type="dxa" w:w="2016"/>
            <w:vAlign w:val="top"/>
          </w:tcPr>
          <w:p>
            <w:r>
              <w:t>Critical</w:t>
            </w:r>
          </w:p>
        </w:tc>
      </w:tr>
      <w:tr>
        <w:tc>
          <w:tcPr>
            <w:tcW w:type="dxa" w:w="2016"/>
            <w:vAlign w:val="top"/>
          </w:tcPr>
          <w:p>
            <w:r>
              <w:t>TC-012</w:t>
            </w:r>
          </w:p>
        </w:tc>
        <w:tc>
          <w:tcPr>
            <w:tcW w:type="dxa" w:w="2016"/>
            <w:vAlign w:val="top"/>
          </w:tcPr>
          <w:p>
            <w:r>
              <w:t>Contract</w:t>
            </w:r>
          </w:p>
        </w:tc>
        <w:tc>
          <w:tcPr>
            <w:tcW w:type="dxa" w:w="2016"/>
            <w:vAlign w:val="top"/>
          </w:tcPr>
          <w:p>
            <w:r>
              <w:t>Old version signed after new version</w:t>
            </w:r>
          </w:p>
        </w:tc>
        <w:tc>
          <w:tcPr>
            <w:tcW w:type="dxa" w:w="2016"/>
            <w:vAlign w:val="top"/>
          </w:tcPr>
          <w:p>
            <w:r>
              <w:t>Bound to exact version</w:t>
            </w:r>
          </w:p>
        </w:tc>
        <w:tc>
          <w:tcPr>
            <w:tcW w:type="dxa" w:w="2016"/>
            <w:vAlign w:val="top"/>
          </w:tcPr>
          <w:p>
            <w:r>
              <w:t>High</w:t>
            </w:r>
          </w:p>
        </w:tc>
      </w:tr>
      <w:tr>
        <w:tc>
          <w:tcPr>
            <w:tcW w:type="dxa" w:w="2016"/>
            <w:vAlign w:val="top"/>
          </w:tcPr>
          <w:p>
            <w:r>
              <w:t>TC-013</w:t>
            </w:r>
          </w:p>
        </w:tc>
        <w:tc>
          <w:tcPr>
            <w:tcW w:type="dxa" w:w="2016"/>
            <w:vAlign w:val="top"/>
          </w:tcPr>
          <w:p>
            <w:r>
              <w:t>Onboarding</w:t>
            </w:r>
          </w:p>
        </w:tc>
        <w:tc>
          <w:tcPr>
            <w:tcW w:type="dxa" w:w="2016"/>
            <w:vAlign w:val="top"/>
          </w:tcPr>
          <w:p>
            <w:r>
              <w:t>Required step incomplete</w:t>
            </w:r>
          </w:p>
        </w:tc>
        <w:tc>
          <w:tcPr>
            <w:tcW w:type="dxa" w:w="2016"/>
            <w:vAlign w:val="top"/>
          </w:tcPr>
          <w:p>
            <w:r>
              <w:t>Submission blocked</w:t>
            </w:r>
          </w:p>
        </w:tc>
        <w:tc>
          <w:tcPr>
            <w:tcW w:type="dxa" w:w="2016"/>
            <w:vAlign w:val="top"/>
          </w:tcPr>
          <w:p>
            <w:r>
              <w:t>High</w:t>
            </w:r>
          </w:p>
        </w:tc>
      </w:tr>
      <w:tr>
        <w:tc>
          <w:tcPr>
            <w:tcW w:type="dxa" w:w="2016"/>
            <w:vAlign w:val="top"/>
          </w:tcPr>
          <w:p>
            <w:r>
              <w:t>TC-014</w:t>
            </w:r>
          </w:p>
        </w:tc>
        <w:tc>
          <w:tcPr>
            <w:tcW w:type="dxa" w:w="2016"/>
            <w:vAlign w:val="top"/>
          </w:tcPr>
          <w:p>
            <w:r>
              <w:t>Onboarding</w:t>
            </w:r>
          </w:p>
        </w:tc>
        <w:tc>
          <w:tcPr>
            <w:tcW w:type="dxa" w:w="2016"/>
            <w:vAlign w:val="top"/>
          </w:tcPr>
          <w:p>
            <w:r>
              <w:t>Optional step incomplete</w:t>
            </w:r>
          </w:p>
        </w:tc>
        <w:tc>
          <w:tcPr>
            <w:tcW w:type="dxa" w:w="2016"/>
            <w:vAlign w:val="top"/>
          </w:tcPr>
          <w:p>
            <w:r>
              <w:t>Submission allowed</w:t>
            </w:r>
          </w:p>
        </w:tc>
        <w:tc>
          <w:tcPr>
            <w:tcW w:type="dxa" w:w="2016"/>
            <w:vAlign w:val="top"/>
          </w:tcPr>
          <w:p>
            <w:r>
              <w:t>Medium</w:t>
            </w:r>
          </w:p>
        </w:tc>
      </w:tr>
      <w:tr>
        <w:tc>
          <w:tcPr>
            <w:tcW w:type="dxa" w:w="2016"/>
            <w:vAlign w:val="top"/>
          </w:tcPr>
          <w:p>
            <w:r>
              <w:t>TC-015</w:t>
            </w:r>
          </w:p>
        </w:tc>
        <w:tc>
          <w:tcPr>
            <w:tcW w:type="dxa" w:w="2016"/>
            <w:vAlign w:val="top"/>
          </w:tcPr>
          <w:p>
            <w:r>
              <w:t>Readiness</w:t>
            </w:r>
          </w:p>
        </w:tc>
        <w:tc>
          <w:tcPr>
            <w:tcW w:type="dxa" w:w="2016"/>
            <w:vAlign w:val="top"/>
          </w:tcPr>
          <w:p>
            <w:r>
              <w:t>Payment complete, contract unsigned</w:t>
            </w:r>
          </w:p>
        </w:tc>
        <w:tc>
          <w:tcPr>
            <w:tcW w:type="dxa" w:w="2016"/>
            <w:vAlign w:val="top"/>
          </w:tcPr>
          <w:p>
            <w:r>
              <w:t>Not ready</w:t>
            </w:r>
          </w:p>
        </w:tc>
        <w:tc>
          <w:tcPr>
            <w:tcW w:type="dxa" w:w="2016"/>
            <w:vAlign w:val="top"/>
          </w:tcPr>
          <w:p>
            <w:r>
              <w:t>High</w:t>
            </w:r>
          </w:p>
        </w:tc>
      </w:tr>
      <w:tr>
        <w:tc>
          <w:tcPr>
            <w:tcW w:type="dxa" w:w="2016"/>
            <w:vAlign w:val="top"/>
          </w:tcPr>
          <w:p>
            <w:r>
              <w:t>TC-016</w:t>
            </w:r>
          </w:p>
        </w:tc>
        <w:tc>
          <w:tcPr>
            <w:tcW w:type="dxa" w:w="2016"/>
            <w:vAlign w:val="top"/>
          </w:tcPr>
          <w:p>
            <w:r>
              <w:t>Readiness</w:t>
            </w:r>
          </w:p>
        </w:tc>
        <w:tc>
          <w:tcPr>
            <w:tcW w:type="dxa" w:w="2016"/>
            <w:vAlign w:val="top"/>
          </w:tcPr>
          <w:p>
            <w:r>
              <w:t>All gates satisfied</w:t>
            </w:r>
          </w:p>
        </w:tc>
        <w:tc>
          <w:tcPr>
            <w:tcW w:type="dxa" w:w="2016"/>
            <w:vAlign w:val="top"/>
          </w:tcPr>
          <w:p>
            <w:r>
              <w:t>Ready after review</w:t>
            </w:r>
          </w:p>
        </w:tc>
        <w:tc>
          <w:tcPr>
            <w:tcW w:type="dxa" w:w="2016"/>
            <w:vAlign w:val="top"/>
          </w:tcPr>
          <w:p>
            <w:r>
              <w:t>High</w:t>
            </w:r>
          </w:p>
        </w:tc>
      </w:tr>
      <w:tr>
        <w:tc>
          <w:tcPr>
            <w:tcW w:type="dxa" w:w="2016"/>
            <w:vAlign w:val="top"/>
          </w:tcPr>
          <w:p>
            <w:r>
              <w:t>TC-017</w:t>
            </w:r>
          </w:p>
        </w:tc>
        <w:tc>
          <w:tcPr>
            <w:tcW w:type="dxa" w:w="2016"/>
            <w:vAlign w:val="top"/>
          </w:tcPr>
          <w:p>
            <w:r>
              <w:t>Reminder</w:t>
            </w:r>
          </w:p>
        </w:tc>
        <w:tc>
          <w:tcPr>
            <w:tcW w:type="dxa" w:w="2016"/>
            <w:vAlign w:val="top"/>
          </w:tcPr>
          <w:p>
            <w:r>
              <w:t>Job retry</w:t>
            </w:r>
          </w:p>
        </w:tc>
        <w:tc>
          <w:tcPr>
            <w:tcW w:type="dxa" w:w="2016"/>
            <w:vAlign w:val="top"/>
          </w:tcPr>
          <w:p>
            <w:r>
              <w:t>No duplicate reminder</w:t>
            </w:r>
          </w:p>
        </w:tc>
        <w:tc>
          <w:tcPr>
            <w:tcW w:type="dxa" w:w="2016"/>
            <w:vAlign w:val="top"/>
          </w:tcPr>
          <w:p>
            <w:r>
              <w:t>Medium</w:t>
            </w:r>
          </w:p>
        </w:tc>
      </w:tr>
      <w:tr>
        <w:tc>
          <w:tcPr>
            <w:tcW w:type="dxa" w:w="2016"/>
            <w:vAlign w:val="top"/>
          </w:tcPr>
          <w:p>
            <w:r>
              <w:t>TC-018</w:t>
            </w:r>
          </w:p>
        </w:tc>
        <w:tc>
          <w:tcPr>
            <w:tcW w:type="dxa" w:w="2016"/>
            <w:vAlign w:val="top"/>
          </w:tcPr>
          <w:p>
            <w:r>
              <w:t>Injection</w:t>
            </w:r>
          </w:p>
        </w:tc>
        <w:tc>
          <w:tcPr>
            <w:tcW w:type="dxa" w:w="2016"/>
            <w:vAlign w:val="top"/>
          </w:tcPr>
          <w:p>
            <w:r>
              <w:t>SQL payload</w:t>
            </w:r>
          </w:p>
        </w:tc>
        <w:tc>
          <w:tcPr>
            <w:tcW w:type="dxa" w:w="2016"/>
            <w:vAlign w:val="top"/>
          </w:tcPr>
          <w:p>
            <w:r>
              <w:t>No query manipulation</w:t>
            </w:r>
          </w:p>
        </w:tc>
        <w:tc>
          <w:tcPr>
            <w:tcW w:type="dxa" w:w="2016"/>
            <w:vAlign w:val="top"/>
          </w:tcPr>
          <w:p>
            <w:r>
              <w:t>Critical</w:t>
            </w:r>
          </w:p>
        </w:tc>
      </w:tr>
      <w:tr>
        <w:tc>
          <w:tcPr>
            <w:tcW w:type="dxa" w:w="2016"/>
            <w:vAlign w:val="top"/>
          </w:tcPr>
          <w:p>
            <w:r>
              <w:t>TC-019</w:t>
            </w:r>
          </w:p>
        </w:tc>
        <w:tc>
          <w:tcPr>
            <w:tcW w:type="dxa" w:w="2016"/>
            <w:vAlign w:val="top"/>
          </w:tcPr>
          <w:p>
            <w:r>
              <w:t>XSS</w:t>
            </w:r>
          </w:p>
        </w:tc>
        <w:tc>
          <w:tcPr>
            <w:tcW w:type="dxa" w:w="2016"/>
            <w:vAlign w:val="top"/>
          </w:tcPr>
          <w:p>
            <w:r>
              <w:t>Script in form data</w:t>
            </w:r>
          </w:p>
        </w:tc>
        <w:tc>
          <w:tcPr>
            <w:tcW w:type="dxa" w:w="2016"/>
            <w:vAlign w:val="top"/>
          </w:tcPr>
          <w:p>
            <w:r>
              <w:t>Does not execute</w:t>
            </w:r>
          </w:p>
        </w:tc>
        <w:tc>
          <w:tcPr>
            <w:tcW w:type="dxa" w:w="2016"/>
            <w:vAlign w:val="top"/>
          </w:tcPr>
          <w:p>
            <w:r>
              <w:t>High</w:t>
            </w:r>
          </w:p>
        </w:tc>
      </w:tr>
      <w:tr>
        <w:tc>
          <w:tcPr>
            <w:tcW w:type="dxa" w:w="2016"/>
            <w:vAlign w:val="top"/>
          </w:tcPr>
          <w:p>
            <w:r>
              <w:t>TC-020</w:t>
            </w:r>
          </w:p>
        </w:tc>
        <w:tc>
          <w:tcPr>
            <w:tcW w:type="dxa" w:w="2016"/>
            <w:vAlign w:val="top"/>
          </w:tcPr>
          <w:p>
            <w:r>
              <w:t>Session</w:t>
            </w:r>
          </w:p>
        </w:tc>
        <w:tc>
          <w:tcPr>
            <w:tcW w:type="dxa" w:w="2016"/>
            <w:vAlign w:val="top"/>
          </w:tcPr>
          <w:p>
            <w:r>
              <w:t>Reuse after logout</w:t>
            </w:r>
          </w:p>
        </w:tc>
        <w:tc>
          <w:tcPr>
            <w:tcW w:type="dxa" w:w="2016"/>
            <w:vAlign w:val="top"/>
          </w:tcPr>
          <w:p>
            <w:r>
              <w:t>Denied</w:t>
            </w:r>
          </w:p>
        </w:tc>
        <w:tc>
          <w:tcPr>
            <w:tcW w:type="dxa" w:w="2016"/>
            <w:vAlign w:val="top"/>
          </w:tcPr>
          <w:p>
            <w:r>
              <w:t>High</w:t>
            </w:r>
          </w:p>
        </w:tc>
      </w:tr>
      <w:tr>
        <w:tc>
          <w:tcPr>
            <w:tcW w:type="dxa" w:w="2016"/>
            <w:vAlign w:val="top"/>
          </w:tcPr>
          <w:p>
            <w:r>
              <w:t>TC-021</w:t>
            </w:r>
          </w:p>
        </w:tc>
        <w:tc>
          <w:tcPr>
            <w:tcW w:type="dxa" w:w="2016"/>
            <w:vAlign w:val="top"/>
          </w:tcPr>
          <w:p>
            <w:r>
              <w:t>Concurrency</w:t>
            </w:r>
          </w:p>
        </w:tc>
        <w:tc>
          <w:tcPr>
            <w:tcW w:type="dxa" w:w="2016"/>
            <w:vAlign w:val="top"/>
          </w:tcPr>
          <w:p>
            <w:r>
              <w:t>Two simultaneous submissions</w:t>
            </w:r>
          </w:p>
        </w:tc>
        <w:tc>
          <w:tcPr>
            <w:tcW w:type="dxa" w:w="2016"/>
            <w:vAlign w:val="top"/>
          </w:tcPr>
          <w:p>
            <w:r>
              <w:t>Consistent state</w:t>
            </w:r>
          </w:p>
        </w:tc>
        <w:tc>
          <w:tcPr>
            <w:tcW w:type="dxa" w:w="2016"/>
            <w:vAlign w:val="top"/>
          </w:tcPr>
          <w:p>
            <w:r>
              <w:t>High</w:t>
            </w:r>
          </w:p>
        </w:tc>
      </w:tr>
      <w:tr>
        <w:tc>
          <w:tcPr>
            <w:tcW w:type="dxa" w:w="2016"/>
            <w:vAlign w:val="top"/>
          </w:tcPr>
          <w:p>
            <w:r>
              <w:t>TC-022</w:t>
            </w:r>
          </w:p>
        </w:tc>
        <w:tc>
          <w:tcPr>
            <w:tcW w:type="dxa" w:w="2016"/>
            <w:vAlign w:val="top"/>
          </w:tcPr>
          <w:p>
            <w:r>
              <w:t>Audit</w:t>
            </w:r>
          </w:p>
        </w:tc>
        <w:tc>
          <w:tcPr>
            <w:tcW w:type="dxa" w:w="2016"/>
            <w:vAlign w:val="top"/>
          </w:tcPr>
          <w:p>
            <w:r>
              <w:t>Critical action</w:t>
            </w:r>
          </w:p>
        </w:tc>
        <w:tc>
          <w:tcPr>
            <w:tcW w:type="dxa" w:w="2016"/>
            <w:vAlign w:val="top"/>
          </w:tcPr>
          <w:p>
            <w:r>
              <w:t>Audit event created</w:t>
            </w:r>
          </w:p>
        </w:tc>
        <w:tc>
          <w:tcPr>
            <w:tcW w:type="dxa" w:w="2016"/>
            <w:vAlign w:val="top"/>
          </w:tcPr>
          <w:p>
            <w:r>
              <w:t>High</w:t>
            </w:r>
          </w:p>
        </w:tc>
      </w:tr>
      <w:tr>
        <w:tc>
          <w:tcPr>
            <w:tcW w:type="dxa" w:w="2016"/>
            <w:vAlign w:val="top"/>
          </w:tcPr>
          <w:p>
            <w:r>
              <w:t>TC-023</w:t>
            </w:r>
          </w:p>
        </w:tc>
        <w:tc>
          <w:tcPr>
            <w:tcW w:type="dxa" w:w="2016"/>
            <w:vAlign w:val="top"/>
          </w:tcPr>
          <w:p>
            <w:r>
              <w:t>Privacy</w:t>
            </w:r>
          </w:p>
        </w:tc>
        <w:tc>
          <w:tcPr>
            <w:tcW w:type="dxa" w:w="2016"/>
            <w:vAlign w:val="top"/>
          </w:tcPr>
          <w:p>
            <w:r>
              <w:t>Unauthorized data query</w:t>
            </w:r>
          </w:p>
        </w:tc>
        <w:tc>
          <w:tcPr>
            <w:tcW w:type="dxa" w:w="2016"/>
            <w:vAlign w:val="top"/>
          </w:tcPr>
          <w:p>
            <w:r>
              <w:t>No disclosure</w:t>
            </w:r>
          </w:p>
        </w:tc>
        <w:tc>
          <w:tcPr>
            <w:tcW w:type="dxa" w:w="2016"/>
            <w:vAlign w:val="top"/>
          </w:tcPr>
          <w:p>
            <w:r>
              <w:t>Critical</w:t>
            </w:r>
          </w:p>
        </w:tc>
      </w:tr>
      <w:tr>
        <w:tc>
          <w:tcPr>
            <w:tcW w:type="dxa" w:w="2016"/>
            <w:vAlign w:val="top"/>
          </w:tcPr>
          <w:p>
            <w:r>
              <w:t>TC-024</w:t>
            </w:r>
          </w:p>
        </w:tc>
        <w:tc>
          <w:tcPr>
            <w:tcW w:type="dxa" w:w="2016"/>
            <w:vAlign w:val="top"/>
          </w:tcPr>
          <w:p>
            <w:r>
              <w:t>Timezone</w:t>
            </w:r>
          </w:p>
        </w:tc>
        <w:tc>
          <w:tcPr>
            <w:tcW w:type="dxa" w:w="2016"/>
            <w:vAlign w:val="top"/>
          </w:tcPr>
          <w:p>
            <w:r>
              <w:t>Cross-timezone due date</w:t>
            </w:r>
          </w:p>
        </w:tc>
        <w:tc>
          <w:tcPr>
            <w:tcW w:type="dxa" w:w="2016"/>
            <w:vAlign w:val="top"/>
          </w:tcPr>
          <w:p>
            <w:r>
              <w:t>Correct display</w:t>
            </w:r>
          </w:p>
        </w:tc>
        <w:tc>
          <w:tcPr>
            <w:tcW w:type="dxa" w:w="2016"/>
            <w:vAlign w:val="top"/>
          </w:tcPr>
          <w:p>
            <w:r>
              <w:t>Medium</w:t>
            </w:r>
          </w:p>
        </w:tc>
      </w:tr>
    </w:tbl>
    <w:p>
      <w:pPr>
        <w:pStyle w:val="Heading1"/>
      </w:pPr>
      <w:r>
        <w:t>Exit criteria</w:t>
      </w:r>
    </w:p>
    <w:p>
      <w:r>
        <w:t>All critical tests pass, no unresolved critical/high security defects remain, authorization is verified and end-to-end onboarding works.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