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Change Control &amp; Risk Management</w:t>
      </w:r>
    </w:p>
    <w:p>
      <w:pPr>
        <w:jc w:val="center"/>
      </w:pPr>
      <w:r>
        <w:rPr>
          <w:i/>
        </w:rPr>
        <w:t>ClientFlow</w:t>
      </w:r>
    </w:p>
    <w:p>
      <w:pPr>
        <w:pStyle w:val="Heading1"/>
      </w:pPr>
      <w:r>
        <w:t>Change process</w:t>
      </w:r>
    </w:p>
    <w:p>
      <w:r>
        <w:t>Describe change → impact analysis → update requirements/design/schema → implement → add tests → regression → security review → update documentation → approve release.</w:t>
      </w:r>
    </w:p>
    <w:p>
      <w:pPr>
        <w:pStyle w:val="Heading1"/>
      </w:pPr>
      <w:r>
        <w:t>Risk classification</w:t>
      </w:r>
    </w:p>
    <w:p>
      <w:pPr>
        <w:pStyle w:val="ListBullet"/>
      </w:pPr>
      <w:r>
        <w:t>Critical: data exposure, credential leakage, payment compromise, malicious upload.</w:t>
      </w:r>
    </w:p>
    <w:p>
      <w:pPr>
        <w:pStyle w:val="ListBullet"/>
      </w:pPr>
      <w:r>
        <w:t>High: authorization, tokens, contract integrity, workflow states.</w:t>
      </w:r>
    </w:p>
    <w:p>
      <w:pPr>
        <w:pStyle w:val="ListBullet"/>
      </w:pPr>
      <w:r>
        <w:t>Medium: reminders, timezone, observability and error handling.</w:t>
      </w:r>
    </w:p>
    <w:p>
      <w:pPr>
        <w:pStyle w:val="ListBullet"/>
      </w:pPr>
      <w:r>
        <w:t>Low: cosmetic changes that do not affect correctness/security.</w:t>
      </w:r>
    </w:p>
    <w:p>
      <w:pPr>
        <w:pStyle w:val="Heading1"/>
      </w:pPr>
      <w:r>
        <w:t>Scope boundary</w:t>
      </w:r>
    </w:p>
    <w:p>
      <w:r>
        <w:t>Academic implementation may simulate payment and signing. Production must replace mocks with verified providers and secure callbacks.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