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19–24 October 2026</w:t>
      </w:r>
    </w:p>
    <w:p>
      <w:pPr>
        <w:spacing w:before="80"/>
        <w:jc w:val="center"/>
      </w:pPr>
      <w:r>
        <w:rPr>
          <w:color w:val="6B6B6B"/>
          <w:sz w:val="20"/>
          <w:szCs w:val="20"/>
        </w:rPr>
        <w:t xml:space="preserve">Last updated 24 October 2026, 10:35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618</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59 opened, 58 merged, 1 in progress (v1.4)</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37,000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971 unit tests, 39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(Dubbelloop, Windbuks, Kettie, Plaas-Pomp, Die Twee-Twee with 3 sights,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37 (D-001 to D-037)</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Die Langloop +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long rifle with a 3–9× scope; the Namibië area (Etosha salt pan with mirages, quiver trees, Namib dunes, a far waterhole); first the scoped drawing cost (issue #56)</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 (started 24 Oct, 05:40)</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2026-10-24T10:23:51.252Z</dcterms:created>
  <dcterms:modified xsi:type="dcterms:W3CDTF">2026-10-24T10:23:51.252Z</dcterms:modified>
</cp:coreProperties>
</file>

<file path=docProps/custom.xml><?xml version="1.0" encoding="utf-8"?>
<Properties xmlns="http://schemas.openxmlformats.org/officeDocument/2006/custom-properties" xmlns:vt="http://schemas.openxmlformats.org/officeDocument/2006/docPropsVTypes"/>
</file>