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92A" w:rsidRPr="00CC58E8" w:rsidRDefault="0018392A" w:rsidP="0018392A">
      <w:pPr>
        <w:jc w:val="center"/>
        <w:rPr>
          <w:rFonts w:ascii="黑体" w:eastAsia="黑体" w:hAnsi="黑体" w:hint="eastAsia"/>
          <w:sz w:val="24"/>
          <w:szCs w:val="24"/>
        </w:rPr>
      </w:pPr>
      <w:r w:rsidRPr="00CC58E8">
        <w:rPr>
          <w:rFonts w:ascii="黑体" w:eastAsia="黑体" w:hAnsi="黑体" w:hint="eastAsia"/>
          <w:sz w:val="24"/>
          <w:szCs w:val="24"/>
        </w:rPr>
        <w:t>国务院/</w:t>
      </w:r>
      <w:r w:rsidRPr="00CC58E8">
        <w:rPr>
          <w:rFonts w:ascii="黑体" w:eastAsia="黑体" w:hAnsi="黑体"/>
          <w:sz w:val="24"/>
          <w:szCs w:val="24"/>
        </w:rPr>
        <w:t>上海市</w:t>
      </w:r>
      <w:r w:rsidRPr="00CC58E8">
        <w:rPr>
          <w:rFonts w:ascii="黑体" w:eastAsia="黑体" w:hAnsi="黑体" w:hint="eastAsia"/>
          <w:sz w:val="24"/>
          <w:szCs w:val="24"/>
        </w:rPr>
        <w:t>学位委员会论文</w:t>
      </w:r>
      <w:r w:rsidRPr="00CC58E8">
        <w:rPr>
          <w:rFonts w:ascii="黑体" w:eastAsia="黑体" w:hAnsi="黑体"/>
          <w:sz w:val="24"/>
          <w:szCs w:val="24"/>
        </w:rPr>
        <w:t>抽检办法梳理</w:t>
      </w:r>
    </w:p>
    <w:tbl>
      <w:tblPr>
        <w:tblW w:w="8980" w:type="dxa"/>
        <w:tblInd w:w="93" w:type="dxa"/>
        <w:tblLook w:val="04A0" w:firstRow="1" w:lastRow="0" w:firstColumn="1" w:lastColumn="0" w:noHBand="0" w:noVBand="1"/>
      </w:tblPr>
      <w:tblGrid>
        <w:gridCol w:w="1540"/>
        <w:gridCol w:w="3720"/>
        <w:gridCol w:w="3720"/>
      </w:tblGrid>
      <w:tr w:rsidR="0018392A" w:rsidRPr="0018392A" w:rsidTr="00121FA6"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学位</w:t>
            </w:r>
            <w:r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  <w:t>类别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博士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硕士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抽检实施方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国务院学位委员会办公室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各省级学位委员会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抽检频率</w:t>
            </w:r>
          </w:p>
        </w:tc>
        <w:tc>
          <w:tcPr>
            <w:tcW w:w="7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每年一次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抽检范围</w:t>
            </w:r>
          </w:p>
        </w:tc>
        <w:tc>
          <w:tcPr>
            <w:tcW w:w="7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上一学年度授予博士、硕士学位的论文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抽检比例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10%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左右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5%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左右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调取方式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国家图书馆直接调取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由各省级学位委员会自定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送审专家</w:t>
            </w:r>
          </w:p>
        </w:tc>
        <w:tc>
          <w:tcPr>
            <w:tcW w:w="7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位同行专家评议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评议结论</w:t>
            </w:r>
          </w:p>
        </w:tc>
        <w:tc>
          <w:tcPr>
            <w:tcW w:w="7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18392A" w:rsidRPr="0018392A" w:rsidRDefault="0018392A" w:rsidP="00121FA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位专家中有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位以上（含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位）评议意见为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“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不合格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”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，将认定为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“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存在问题学位论文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”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。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位专家中有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位评议意见为“不合格”，将再送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位同行专家复评。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位复评专家中有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位以上（含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位）意见为“不合格”，将认定为“存在问题学位论文”。</w:t>
            </w:r>
          </w:p>
        </w:tc>
      </w:tr>
      <w:tr w:rsidR="0018392A" w:rsidRPr="0018392A" w:rsidTr="00121FA6"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后续影响</w:t>
            </w:r>
          </w:p>
        </w:tc>
        <w:tc>
          <w:tcPr>
            <w:tcW w:w="7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AF1DD"/>
            <w:vAlign w:val="center"/>
            <w:hideMark/>
          </w:tcPr>
          <w:p w:rsidR="0018392A" w:rsidRPr="0018392A" w:rsidRDefault="0018392A" w:rsidP="00121FA6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1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、对连续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年均有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“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存在问题学位论文</w:t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”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，且比例较高或篇数较多的学位授予单位，进行质量约谈。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2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、将学位论文抽检结果，作为学位授予点评估中的重要指标，对“存在问题学位论文”比例较高或篇数较多的，责令整改。整改后仍不达标者，将撤销学位授予权。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</w:r>
            <w:r w:rsidRPr="0018392A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3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、学位授予单位应将抽检专家意见，作为本单位导师招生资格确定。研究生教育资源配置的重要依据。</w:t>
            </w:r>
          </w:p>
        </w:tc>
      </w:tr>
    </w:tbl>
    <w:p w:rsidR="0018392A" w:rsidRDefault="0018392A"/>
    <w:p w:rsidR="00CE3A31" w:rsidRDefault="0018392A" w:rsidP="00CC58E8">
      <w:pPr>
        <w:jc w:val="center"/>
        <w:rPr>
          <w:rFonts w:hint="eastAsia"/>
        </w:rPr>
      </w:pPr>
      <w:r w:rsidRPr="00CC58E8">
        <w:rPr>
          <w:rFonts w:ascii="黑体" w:eastAsia="黑体" w:hAnsi="黑体" w:hint="eastAsia"/>
          <w:sz w:val="24"/>
          <w:szCs w:val="24"/>
        </w:rPr>
        <w:t>硕士</w:t>
      </w:r>
      <w:r w:rsidRPr="00CC58E8">
        <w:rPr>
          <w:rFonts w:ascii="黑体" w:eastAsia="黑体" w:hAnsi="黑体"/>
          <w:sz w:val="24"/>
          <w:szCs w:val="24"/>
        </w:rPr>
        <w:t>学位论文抽检方式及要求</w:t>
      </w:r>
      <w:r w:rsidR="00CC58E8">
        <w:rPr>
          <w:rFonts w:ascii="黑体" w:eastAsia="黑体" w:hAnsi="黑体" w:hint="eastAsia"/>
          <w:sz w:val="24"/>
          <w:szCs w:val="24"/>
        </w:rPr>
        <w:t>补充</w:t>
      </w:r>
      <w:r w:rsidR="00CC58E8">
        <w:rPr>
          <w:rFonts w:ascii="黑体" w:eastAsia="黑体" w:hAnsi="黑体"/>
          <w:sz w:val="24"/>
          <w:szCs w:val="24"/>
        </w:rPr>
        <w:t>部分</w:t>
      </w:r>
      <w:bookmarkStart w:id="0" w:name="_GoBack"/>
      <w:bookmarkEnd w:id="0"/>
    </w:p>
    <w:tbl>
      <w:tblPr>
        <w:tblW w:w="8978" w:type="dxa"/>
        <w:tblInd w:w="93" w:type="dxa"/>
        <w:tblLook w:val="04A0" w:firstRow="1" w:lastRow="0" w:firstColumn="1" w:lastColumn="0" w:noHBand="0" w:noVBand="1"/>
      </w:tblPr>
      <w:tblGrid>
        <w:gridCol w:w="1504"/>
        <w:gridCol w:w="7474"/>
      </w:tblGrid>
      <w:tr w:rsidR="00CE3A31" w:rsidRPr="0018392A" w:rsidTr="0018392A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CE3A31" w:rsidRPr="0018392A" w:rsidRDefault="0022092A" w:rsidP="00CE3A3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抽检方式</w:t>
            </w:r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CE3A31" w:rsidRPr="0018392A" w:rsidRDefault="00CE3A31" w:rsidP="00CE3A31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FFFFFF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FFFFFF"/>
                <w:kern w:val="0"/>
                <w:szCs w:val="21"/>
              </w:rPr>
              <w:t>抽检要求</w:t>
            </w:r>
          </w:p>
        </w:tc>
      </w:tr>
      <w:tr w:rsidR="00CE3A31" w:rsidRPr="0018392A" w:rsidTr="0018392A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noWrap/>
            <w:vAlign w:val="center"/>
            <w:hideMark/>
          </w:tcPr>
          <w:p w:rsidR="00CE3A31" w:rsidRPr="0018392A" w:rsidRDefault="00CE3A31" w:rsidP="00CE3A3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一般抽检</w:t>
            </w:r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BE5F1" w:fill="DBE5F1"/>
            <w:vAlign w:val="center"/>
            <w:hideMark/>
          </w:tcPr>
          <w:p w:rsidR="00CE3A31" w:rsidRPr="0018392A" w:rsidRDefault="00CE3A31" w:rsidP="00CE3A3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每个学位授予点采用随机方式抽检，比例为5%左右。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（对学位授予人数较少的学位点，连续三年内至少抽检一篇或以上的硕士学位论文。）</w:t>
            </w:r>
          </w:p>
        </w:tc>
      </w:tr>
      <w:tr w:rsidR="00CE3A31" w:rsidRPr="0018392A" w:rsidTr="0018392A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E3A31" w:rsidRPr="0018392A" w:rsidRDefault="00CE3A31" w:rsidP="00CE3A31">
            <w:pPr>
              <w:widowControl/>
              <w:jc w:val="left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重点抽检</w:t>
            </w:r>
          </w:p>
        </w:tc>
        <w:tc>
          <w:tcPr>
            <w:tcW w:w="7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A31" w:rsidRPr="0018392A" w:rsidRDefault="00CE3A31" w:rsidP="00CE3A31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1、新增学位点自首次授予学位起三年内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2、抽检出现问题学位点连续三年内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3、同一导师同年度指导四位及以上研究生获得硕士学位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4、在职人员攻读获得硕士学位者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5、延期超过一年以上（不含一年）获得硕士学位者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6、硕士留学生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7、其他需重点检测情况等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8、对全国博士学位论文抽检认定为“存在问题学位论文”的导师所指导的硕士学位获得者连续三年内全部抽检</w:t>
            </w:r>
            <w:r w:rsidRPr="0018392A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br/>
              <w:t>9、申请保密的硕士学位论文解密后一年内全部抽检</w:t>
            </w:r>
          </w:p>
        </w:tc>
      </w:tr>
    </w:tbl>
    <w:p w:rsidR="00CE3A31" w:rsidRPr="00CE3A31" w:rsidRDefault="00CE3A31"/>
    <w:sectPr w:rsidR="00CE3A31" w:rsidRPr="00CE3A31" w:rsidSect="00295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100" w:rsidRDefault="009B5100" w:rsidP="003F5127">
      <w:r>
        <w:separator/>
      </w:r>
    </w:p>
  </w:endnote>
  <w:endnote w:type="continuationSeparator" w:id="0">
    <w:p w:rsidR="009B5100" w:rsidRDefault="009B5100" w:rsidP="003F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100" w:rsidRDefault="009B5100" w:rsidP="003F5127">
      <w:r>
        <w:separator/>
      </w:r>
    </w:p>
  </w:footnote>
  <w:footnote w:type="continuationSeparator" w:id="0">
    <w:p w:rsidR="009B5100" w:rsidRDefault="009B5100" w:rsidP="003F5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5127"/>
    <w:rsid w:val="0018392A"/>
    <w:rsid w:val="0022092A"/>
    <w:rsid w:val="002952BE"/>
    <w:rsid w:val="00373C93"/>
    <w:rsid w:val="003F5127"/>
    <w:rsid w:val="004931E1"/>
    <w:rsid w:val="00670F1C"/>
    <w:rsid w:val="007917E3"/>
    <w:rsid w:val="00835560"/>
    <w:rsid w:val="008A4BC6"/>
    <w:rsid w:val="009B5100"/>
    <w:rsid w:val="00B2211E"/>
    <w:rsid w:val="00B41764"/>
    <w:rsid w:val="00CA1680"/>
    <w:rsid w:val="00CC58E8"/>
    <w:rsid w:val="00CE3A31"/>
    <w:rsid w:val="00D5510A"/>
    <w:rsid w:val="00E55885"/>
    <w:rsid w:val="00FB7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959E626-0120-487F-92E8-C181AA0F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2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51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5127"/>
    <w:rPr>
      <w:sz w:val="18"/>
      <w:szCs w:val="18"/>
    </w:rPr>
  </w:style>
  <w:style w:type="table" w:styleId="a5">
    <w:name w:val="Table Grid"/>
    <w:basedOn w:val="a1"/>
    <w:uiPriority w:val="59"/>
    <w:rsid w:val="003F5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1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rego</cp:lastModifiedBy>
  <cp:revision>11</cp:revision>
  <dcterms:created xsi:type="dcterms:W3CDTF">2014-12-09T01:26:00Z</dcterms:created>
  <dcterms:modified xsi:type="dcterms:W3CDTF">2015-11-26T01:51:00Z</dcterms:modified>
</cp:coreProperties>
</file>