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36303E">
        <w:rPr>
          <w:rFonts w:ascii="Arial" w:hAnsi="Arial" w:cs="Arial"/>
          <w:b/>
          <w:sz w:val="20"/>
          <w:szCs w:val="20"/>
        </w:rPr>
        <w:t xml:space="preserve"> 4° EGB A</w:t>
      </w:r>
    </w:p>
    <w:tbl>
      <w:tblPr>
        <w:tblStyle w:val="Tabladecuadrcula4"/>
        <w:tblW w:w="0" w:type="auto"/>
        <w:tblLook w:val="0620" w:firstRow="1" w:lastRow="0" w:firstColumn="0" w:lastColumn="0" w:noHBand="1" w:noVBand="1"/>
      </w:tblPr>
      <w:tblGrid>
        <w:gridCol w:w="1996"/>
        <w:gridCol w:w="1995"/>
        <w:gridCol w:w="1993"/>
        <w:gridCol w:w="1990"/>
        <w:gridCol w:w="1988"/>
      </w:tblGrid>
      <w:tr w:rsidR="00784B94" w:rsidRPr="00784B94" w:rsidTr="00A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784B94" w:rsidRPr="00784B94" w:rsidRDefault="00784B94" w:rsidP="00784B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784B94" w:rsidRPr="00784B94" w:rsidTr="00AF00BE">
        <w:tc>
          <w:tcPr>
            <w:tcW w:w="2022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84B94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</w:tr>
      <w:tr w:rsidR="00784B94" w:rsidRPr="00784B94" w:rsidTr="00AF00BE">
        <w:tc>
          <w:tcPr>
            <w:tcW w:w="2022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4B94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784B94" w:rsidRPr="00784B94" w:rsidRDefault="00784B94" w:rsidP="00784B9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84B94">
              <w:rPr>
                <w:rFonts w:ascii="Arial" w:hAnsi="Arial" w:cs="Arial"/>
                <w:color w:val="FF0000"/>
                <w:sz w:val="20"/>
                <w:szCs w:val="20"/>
              </w:rPr>
              <w:t>Inglés</w:t>
            </w:r>
          </w:p>
        </w:tc>
      </w:tr>
    </w:tbl>
    <w:p w:rsidR="00784B94" w:rsidRDefault="00784B94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784B94" w:rsidRPr="003E14C9" w:rsidRDefault="00784B94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A84797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36303E">
        <w:rPr>
          <w:rFonts w:ascii="Arial" w:hAnsi="Arial" w:cs="Arial"/>
          <w:b/>
          <w:sz w:val="20"/>
          <w:szCs w:val="20"/>
        </w:rPr>
        <w:t xml:space="preserve"> Pía </w:t>
      </w:r>
      <w:proofErr w:type="spellStart"/>
      <w:r w:rsidR="0036303E">
        <w:rPr>
          <w:rFonts w:ascii="Arial" w:hAnsi="Arial" w:cs="Arial"/>
          <w:b/>
          <w:sz w:val="20"/>
          <w:szCs w:val="20"/>
        </w:rPr>
        <w:t>Cosmelli</w:t>
      </w:r>
      <w:proofErr w:type="spellEnd"/>
      <w:r w:rsidR="0036303E">
        <w:rPr>
          <w:rFonts w:ascii="Arial" w:hAnsi="Arial" w:cs="Arial"/>
          <w:b/>
          <w:sz w:val="20"/>
          <w:szCs w:val="20"/>
        </w:rPr>
        <w:t xml:space="preserve"> Rodríguez</w:t>
      </w:r>
      <w:bookmarkStart w:id="0" w:name="_GoBack"/>
      <w:bookmarkEnd w:id="0"/>
    </w:p>
    <w:p w:rsidR="00E739A3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784B94" w:rsidRPr="003E14C9" w:rsidRDefault="00784B94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"/>
        <w:tblW w:w="0" w:type="auto"/>
        <w:tblLook w:val="0620" w:firstRow="1" w:lastRow="0" w:firstColumn="0" w:lastColumn="0" w:noHBand="1" w:noVBand="1"/>
      </w:tblPr>
      <w:tblGrid>
        <w:gridCol w:w="1793"/>
        <w:gridCol w:w="6260"/>
        <w:gridCol w:w="1909"/>
      </w:tblGrid>
      <w:tr w:rsidR="00E739A3" w:rsidRPr="003E14C9" w:rsidTr="00AF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387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3E14C9" w:rsidTr="00AF00BE">
        <w:tc>
          <w:tcPr>
            <w:tcW w:w="1809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387" w:type="dxa"/>
          </w:tcPr>
          <w:p w:rsidR="00E739A3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Comprensión lectora de textos literarios y texto no literarios (extraer información explícita e implícita)- El párrafo-Clasificación de textos literarios y no literarios- Propósito comunicativo- Factores de la comunicación (emisor- receptor- mensaje)-  Identificar tipo de texto y sus características- Identificar tema- Localizar información- Inferir- Vocabulario en contexto- Secuencia narrativa- Causa y efecto- Reconocer hecho y opinión- Uso adecuado de verbos- sustantivos y adjetivos. </w:t>
            </w:r>
            <w:r w:rsidRPr="007968B5">
              <w:rPr>
                <w:rFonts w:ascii="Arial" w:hAnsi="Arial" w:cs="Arial"/>
                <w:b/>
                <w:sz w:val="20"/>
                <w:szCs w:val="20"/>
                <w:u w:val="single"/>
              </w:rPr>
              <w:t>Textos literarios:</w:t>
            </w:r>
            <w:r w:rsidRPr="007968B5">
              <w:rPr>
                <w:rFonts w:ascii="Arial" w:hAnsi="Arial" w:cs="Arial"/>
                <w:sz w:val="20"/>
                <w:szCs w:val="20"/>
              </w:rPr>
              <w:t xml:space="preserve"> cuentos- poemas </w:t>
            </w:r>
            <w:r w:rsidRPr="007968B5">
              <w:rPr>
                <w:rFonts w:ascii="Arial" w:hAnsi="Arial" w:cs="Arial"/>
                <w:b/>
                <w:sz w:val="20"/>
                <w:szCs w:val="20"/>
                <w:u w:val="single"/>
              </w:rPr>
              <w:t>Textos no literarios</w:t>
            </w:r>
            <w:r w:rsidRPr="007968B5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Pr="007968B5">
              <w:rPr>
                <w:rFonts w:ascii="Arial" w:hAnsi="Arial" w:cs="Arial"/>
                <w:sz w:val="20"/>
                <w:szCs w:val="20"/>
              </w:rPr>
              <w:t xml:space="preserve"> artículo informativo- noticia- cartas- Infografía</w:t>
            </w:r>
          </w:p>
        </w:tc>
        <w:tc>
          <w:tcPr>
            <w:tcW w:w="1926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9A3" w:rsidRPr="003E14C9" w:rsidTr="00AF00BE">
        <w:tc>
          <w:tcPr>
            <w:tcW w:w="1809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387" w:type="dxa"/>
          </w:tcPr>
          <w:p w:rsidR="007968B5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animals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appearance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7968B5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Comparative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superlatives</w:t>
            </w:r>
            <w:proofErr w:type="spellEnd"/>
          </w:p>
          <w:p w:rsidR="007968B5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Asking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appearance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968B5"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+ look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like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 w:rsidRPr="007968B5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E739A3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camouflage</w:t>
            </w:r>
            <w:proofErr w:type="spellEnd"/>
          </w:p>
        </w:tc>
        <w:tc>
          <w:tcPr>
            <w:tcW w:w="1926" w:type="dxa"/>
          </w:tcPr>
          <w:p w:rsidR="00E739A3" w:rsidRPr="007968B5" w:rsidRDefault="00E739A3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387" w:type="dxa"/>
          </w:tcPr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Escritura de números hasta 10.000; Representar números; Comparar y ordenar números; Valor posicional; Componer y descomponer números; Operaciones: adición, sustracción, multiplicación y división; Ecuaciones: Patrones en tabla (adición, sustracción, multiplicación y división); Plantear, resolver, representar y comprobar ecuaciones; Representar, resolver y comprobar inecuaciones; Resolver problemas.</w:t>
            </w:r>
          </w:p>
        </w:tc>
        <w:tc>
          <w:tcPr>
            <w:tcW w:w="1926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Multi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387" w:type="dxa"/>
          </w:tcPr>
          <w:p w:rsidR="007968B5" w:rsidRPr="007968B5" w:rsidRDefault="0036303E" w:rsidP="007968B5">
            <w:pPr>
              <w:numPr>
                <w:ilvl w:val="0"/>
                <w:numId w:val="13"/>
              </w:num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Eje de Geografía: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Geografía Física y Política de América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Climas de América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Principales Idiomas de América 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Conceptos Estructurantes de América: Golfo, Península, Meseta, Llanura, Isla, Archipiélago, Población, Istmo.</w:t>
            </w:r>
          </w:p>
          <w:p w:rsidR="0036303E" w:rsidRPr="007968B5" w:rsidRDefault="0036303E" w:rsidP="007968B5">
            <w:pPr>
              <w:numPr>
                <w:ilvl w:val="0"/>
                <w:numId w:val="13"/>
              </w:num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Eje de Historia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Grandes Civilizaciones de América:</w:t>
            </w:r>
          </w:p>
          <w:p w:rsidR="0036303E" w:rsidRPr="007968B5" w:rsidRDefault="0036303E" w:rsidP="007968B5">
            <w:pPr>
              <w:spacing w:after="0" w:line="2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Los Incas: Ubicación Espacial y temporal de la civilización incásica.</w:t>
            </w:r>
          </w:p>
          <w:p w:rsidR="007968B5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Legado del Imperio Inca.</w:t>
            </w:r>
            <w:r w:rsidRPr="007968B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26" w:type="dxa"/>
          </w:tcPr>
          <w:p w:rsidR="0036303E" w:rsidRPr="007968B5" w:rsidRDefault="007968B5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36303E" w:rsidRPr="007968B5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36303E" w:rsidRPr="007968B5" w:rsidRDefault="0036303E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  <w:p w:rsidR="0036303E" w:rsidRPr="007968B5" w:rsidRDefault="0036303E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Cuadro Comparativo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Uso de Mapa de América</w:t>
            </w: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387" w:type="dxa"/>
          </w:tcPr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Unidad 1, “Sistemas Locomotor y nervioso”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Sistema locomotor y actividad física.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Sistema nervioso y periférico.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Unidad 2, “Ecosistemas”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Componentes de los ecosistemas.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Cadenas y tramas tróficas.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Protección de los ecosistemas.</w:t>
            </w:r>
          </w:p>
        </w:tc>
        <w:tc>
          <w:tcPr>
            <w:tcW w:w="1926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387" w:type="dxa"/>
          </w:tcPr>
          <w:p w:rsidR="007968B5" w:rsidRDefault="0036303E" w:rsidP="007968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7968B5">
              <w:rPr>
                <w:rFonts w:ascii="Arial" w:hAnsi="Arial" w:cs="Arial"/>
                <w:sz w:val="20"/>
                <w:szCs w:val="20"/>
              </w:rPr>
              <w:t>3.Objeto</w:t>
            </w:r>
            <w:proofErr w:type="gramEnd"/>
            <w:r w:rsidRPr="007968B5">
              <w:rPr>
                <w:rFonts w:ascii="Arial" w:hAnsi="Arial" w:cs="Arial"/>
                <w:sz w:val="20"/>
                <w:szCs w:val="20"/>
              </w:rPr>
              <w:t xml:space="preserve"> con circuito. Síntesis. </w:t>
            </w:r>
          </w:p>
          <w:p w:rsidR="0036303E" w:rsidRPr="007968B5" w:rsidRDefault="0036303E" w:rsidP="007968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Contenido: Construcción de un circuito para </w:t>
            </w:r>
            <w:proofErr w:type="gramStart"/>
            <w:r w:rsidRPr="007968B5">
              <w:rPr>
                <w:rFonts w:ascii="Arial" w:hAnsi="Arial" w:cs="Arial"/>
                <w:sz w:val="20"/>
                <w:szCs w:val="20"/>
              </w:rPr>
              <w:t>transmitir  energía</w:t>
            </w:r>
            <w:proofErr w:type="gramEnd"/>
            <w:r w:rsidRPr="007968B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Materiales: cartón piedra, pegamento, un set de circuito 1 metro de cable telefónico o delgado, una pila, huincha aisladora.</w:t>
            </w:r>
          </w:p>
        </w:tc>
        <w:tc>
          <w:tcPr>
            <w:tcW w:w="1926" w:type="dxa"/>
          </w:tcPr>
          <w:p w:rsidR="007968B5" w:rsidRPr="007968B5" w:rsidRDefault="007968B5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36303E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387" w:type="dxa"/>
          </w:tcPr>
          <w:p w:rsidR="0036303E" w:rsidRPr="007968B5" w:rsidRDefault="0036303E" w:rsidP="007968B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Entorno cultural artístico: Arte Surrealista. Temática: Animal imaginario</w:t>
            </w:r>
          </w:p>
          <w:p w:rsidR="0036303E" w:rsidRPr="007968B5" w:rsidRDefault="0036303E" w:rsidP="007968B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Medio de expresión: Escultura Técnica: Materiales reciclados y papel maché.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(Materiales: 1 botella mini con tapa, cinta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masking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tape de 2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 xml:space="preserve"> de ancho, cilindros de confort, cajas de cartón de tamaño mediano o pequeñas, tijera, cola fría,1 toalla nova, un pote para mezclar cola </w:t>
            </w:r>
            <w:r w:rsidRPr="007968B5">
              <w:rPr>
                <w:rFonts w:ascii="Arial" w:hAnsi="Arial" w:cs="Arial"/>
                <w:sz w:val="20"/>
                <w:szCs w:val="20"/>
              </w:rPr>
              <w:lastRenderedPageBreak/>
              <w:t>fría con agua, un pincel plano, témpera, pinceles, mezclador, decoraciones para el animal imaginario.</w:t>
            </w:r>
          </w:p>
        </w:tc>
        <w:tc>
          <w:tcPr>
            <w:tcW w:w="1926" w:type="dxa"/>
          </w:tcPr>
          <w:p w:rsidR="0036303E" w:rsidRPr="007968B5" w:rsidRDefault="0036303E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lastRenderedPageBreak/>
              <w:t>Práctico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lastRenderedPageBreak/>
              <w:t xml:space="preserve">Música </w:t>
            </w:r>
          </w:p>
        </w:tc>
        <w:tc>
          <w:tcPr>
            <w:tcW w:w="6387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Ejecución de Repertorio “Minueto en Sol Mayor”. Aplicando lectura musical para instrumentos melódicos (flauta, </w:t>
            </w:r>
            <w:proofErr w:type="spellStart"/>
            <w:r w:rsidRPr="007968B5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7968B5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926" w:type="dxa"/>
          </w:tcPr>
          <w:p w:rsidR="007968B5" w:rsidRDefault="0036303E" w:rsidP="007968B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Práctica Grupal</w:t>
            </w:r>
          </w:p>
          <w:p w:rsidR="0036303E" w:rsidRPr="007968B5" w:rsidRDefault="0036303E" w:rsidP="007968B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(se presenta de forma grupal, calificación individual)</w:t>
            </w:r>
          </w:p>
        </w:tc>
      </w:tr>
      <w:tr w:rsidR="0036303E" w:rsidRPr="003E14C9" w:rsidTr="00AF00BE">
        <w:tc>
          <w:tcPr>
            <w:tcW w:w="1809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387" w:type="dxa"/>
          </w:tcPr>
          <w:p w:rsidR="0036303E" w:rsidRPr="007968B5" w:rsidRDefault="0036303E" w:rsidP="007968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Habilidades Motoras Básicas combinadas:</w:t>
            </w:r>
          </w:p>
          <w:p w:rsidR="0036303E" w:rsidRPr="007968B5" w:rsidRDefault="0036303E" w:rsidP="007968B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Circuito motor en parejas: lanzamiento a ras de piso, lanzamiento al pecho, lanzamiento sobre la cabeza, lanzar y recibir con salto, rodar con el balón, pasar las mini vallas boteando, escalera de coordinación.   </w:t>
            </w:r>
          </w:p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36303E" w:rsidRPr="007968B5" w:rsidRDefault="0036303E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968B5" w:rsidRPr="003E14C9" w:rsidTr="00AF00BE">
        <w:tc>
          <w:tcPr>
            <w:tcW w:w="1809" w:type="dxa"/>
          </w:tcPr>
          <w:p w:rsidR="007968B5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387" w:type="dxa"/>
          </w:tcPr>
          <w:p w:rsidR="007968B5" w:rsidRPr="007968B5" w:rsidRDefault="007968B5" w:rsidP="007968B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968B5">
              <w:rPr>
                <w:rFonts w:ascii="Arial" w:hAnsi="Arial" w:cs="Arial"/>
                <w:b/>
                <w:sz w:val="20"/>
                <w:szCs w:val="20"/>
                <w:u w:val="single"/>
              </w:rPr>
              <w:t>Botiquín de las emociones:</w:t>
            </w:r>
          </w:p>
          <w:p w:rsidR="007968B5" w:rsidRPr="007968B5" w:rsidRDefault="007968B5" w:rsidP="007968B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Emociones Positivas</w:t>
            </w:r>
          </w:p>
          <w:p w:rsidR="007968B5" w:rsidRPr="007968B5" w:rsidRDefault="007968B5" w:rsidP="007968B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Emociones Negativas</w:t>
            </w:r>
          </w:p>
          <w:p w:rsidR="007968B5" w:rsidRPr="007968B5" w:rsidRDefault="007968B5" w:rsidP="007968B5">
            <w:pPr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Expresión de las emociones</w:t>
            </w:r>
          </w:p>
        </w:tc>
        <w:tc>
          <w:tcPr>
            <w:tcW w:w="1926" w:type="dxa"/>
          </w:tcPr>
          <w:p w:rsidR="007968B5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Trabajo-Practico</w:t>
            </w:r>
          </w:p>
          <w:p w:rsidR="007968B5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 xml:space="preserve">De proceso </w:t>
            </w:r>
          </w:p>
          <w:p w:rsidR="007968B5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68B5">
              <w:rPr>
                <w:rFonts w:ascii="Arial" w:hAnsi="Arial" w:cs="Arial"/>
                <w:sz w:val="20"/>
                <w:szCs w:val="20"/>
              </w:rPr>
              <w:t>(clase a clase)</w:t>
            </w:r>
          </w:p>
          <w:p w:rsidR="007968B5" w:rsidRPr="007968B5" w:rsidRDefault="007968B5" w:rsidP="007968B5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37A1" w:rsidRDefault="000737A1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AF00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931" w:rsidRDefault="00DC5931">
      <w:pPr>
        <w:spacing w:after="0" w:line="240" w:lineRule="auto"/>
      </w:pPr>
      <w:r>
        <w:separator/>
      </w:r>
    </w:p>
  </w:endnote>
  <w:endnote w:type="continuationSeparator" w:id="0">
    <w:p w:rsidR="00DC5931" w:rsidRDefault="00DC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BE" w:rsidRDefault="00AF00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BE" w:rsidRDefault="00AF00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BE" w:rsidRDefault="00AF00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931" w:rsidRDefault="00DC5931">
      <w:pPr>
        <w:spacing w:after="0" w:line="240" w:lineRule="auto"/>
      </w:pPr>
      <w:r>
        <w:separator/>
      </w:r>
    </w:p>
  </w:footnote>
  <w:footnote w:type="continuationSeparator" w:id="0">
    <w:p w:rsidR="00DC5931" w:rsidRDefault="00DC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BE" w:rsidRDefault="00AF00B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74860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AF00B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74861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110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BE" w:rsidRDefault="00AF00BE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274859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D0105A"/>
    <w:multiLevelType w:val="hybridMultilevel"/>
    <w:tmpl w:val="25A0C52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5797D"/>
    <w:multiLevelType w:val="hybridMultilevel"/>
    <w:tmpl w:val="8B0CE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64939"/>
    <w:multiLevelType w:val="hybridMultilevel"/>
    <w:tmpl w:val="A6B84E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B57B8"/>
    <w:rsid w:val="000D4977"/>
    <w:rsid w:val="000D5258"/>
    <w:rsid w:val="000F6C89"/>
    <w:rsid w:val="001108DA"/>
    <w:rsid w:val="00132B0D"/>
    <w:rsid w:val="00166E45"/>
    <w:rsid w:val="00182284"/>
    <w:rsid w:val="001B0685"/>
    <w:rsid w:val="001E2EC7"/>
    <w:rsid w:val="0022039C"/>
    <w:rsid w:val="00257101"/>
    <w:rsid w:val="00292F3B"/>
    <w:rsid w:val="0029321A"/>
    <w:rsid w:val="00297EAA"/>
    <w:rsid w:val="002B024D"/>
    <w:rsid w:val="002F1815"/>
    <w:rsid w:val="0036303E"/>
    <w:rsid w:val="0038511E"/>
    <w:rsid w:val="003E52BC"/>
    <w:rsid w:val="0041097A"/>
    <w:rsid w:val="00411AA7"/>
    <w:rsid w:val="00417666"/>
    <w:rsid w:val="004913B8"/>
    <w:rsid w:val="004A4047"/>
    <w:rsid w:val="00547C0E"/>
    <w:rsid w:val="00661BCE"/>
    <w:rsid w:val="00694248"/>
    <w:rsid w:val="006C755F"/>
    <w:rsid w:val="006D125A"/>
    <w:rsid w:val="006F605A"/>
    <w:rsid w:val="00733799"/>
    <w:rsid w:val="00784B94"/>
    <w:rsid w:val="007968B5"/>
    <w:rsid w:val="007A731E"/>
    <w:rsid w:val="007C0135"/>
    <w:rsid w:val="007D5E73"/>
    <w:rsid w:val="00854BED"/>
    <w:rsid w:val="008570D8"/>
    <w:rsid w:val="00870E5D"/>
    <w:rsid w:val="00897766"/>
    <w:rsid w:val="009F4B78"/>
    <w:rsid w:val="00A13149"/>
    <w:rsid w:val="00A31EF9"/>
    <w:rsid w:val="00A84797"/>
    <w:rsid w:val="00AA3911"/>
    <w:rsid w:val="00AF00BE"/>
    <w:rsid w:val="00AF3A59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DEA"/>
    <w:rsid w:val="00D30A7B"/>
    <w:rsid w:val="00D850FE"/>
    <w:rsid w:val="00DA2596"/>
    <w:rsid w:val="00DC5931"/>
    <w:rsid w:val="00DE552C"/>
    <w:rsid w:val="00E02280"/>
    <w:rsid w:val="00E37017"/>
    <w:rsid w:val="00E57679"/>
    <w:rsid w:val="00E60E25"/>
    <w:rsid w:val="00E6360C"/>
    <w:rsid w:val="00E739A3"/>
    <w:rsid w:val="00EC1514"/>
    <w:rsid w:val="00F2681E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A768E204-F745-4B98-8552-487A4E5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36303E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AF00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3D18A-BDFF-4911-A164-C0373D78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2018-06-08T20:39:00Z</dcterms:created>
  <dcterms:modified xsi:type="dcterms:W3CDTF">2018-06-08T20:39:00Z</dcterms:modified>
</cp:coreProperties>
</file>