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224"/>
      </w:tblGrid>
      <w:tr>
        <w:tc>
          <w:tcPr>
            <w:tcW w:type="dxa" w:w="10224"/>
            <w:shd w:val="clear" w:fill="B1442F"/>
          </w:tcPr>
          <w:p>
            <w:r>
              <w:rPr>
                <w:b/>
                <w:color w:val="FFE6DE"/>
                <w:sz w:val="18"/>
              </w:rPr>
              <w:t>PROMISE &amp; PRACTICE  ·  GROWTH &amp; CONFLICT  ·  SOURCE ANALYSIS</w:t>
            </w:r>
          </w:p>
          <w:p>
            <w:r>
              <w:rPr>
                <w:b/>
                <w:color w:val="FFFFFF"/>
                <w:sz w:val="42"/>
              </w:rPr>
              <w:t>Fort Dearborn</w:t>
            </w:r>
          </w:p>
          <w:p>
            <w:r>
              <w:rPr>
                <w:i/>
                <w:color w:val="FFE6DE"/>
                <w:sz w:val="22"/>
              </w:rPr>
              <w:t>This was Native ground first</w:t>
            </w:r>
          </w:p>
        </w:tc>
      </w:tr>
    </w:tbl>
    <w:p>
      <w:r>
        <w:rPr>
          <w:b/>
          <w:sz w:val="21"/>
        </w:rPr>
        <w:t xml:space="preserve">Name: </w:t>
      </w:r>
      <w:r>
        <w:rPr>
          <w:sz w:val="21"/>
        </w:rPr>
        <w:t xml:space="preserve">______________________________    </w:t>
      </w:r>
      <w:r>
        <w:rPr>
          <w:b/>
          <w:sz w:val="21"/>
        </w:rPr>
        <w:t xml:space="preserve">Period: </w:t>
      </w:r>
      <w:r>
        <w:rPr>
          <w:sz w:val="21"/>
        </w:rPr>
        <w:t xml:space="preserve">_____    </w:t>
      </w:r>
      <w:r>
        <w:rPr>
          <w:b/>
          <w:sz w:val="21"/>
        </w:rPr>
        <w:t xml:space="preserve">Date: </w:t>
      </w:r>
      <w:r>
        <w:rPr>
          <w:sz w:val="21"/>
        </w:rPr>
        <w:t>________________</w:t>
      </w:r>
    </w:p>
    <w:tbl>
      <w:tblPr>
        <w:tblW w:type="auto" w:w="0"/>
        <w:tblLayout w:type="autofit"/>
        <w:tblLook w:firstColumn="1" w:firstRow="1" w:lastColumn="0" w:lastRow="0" w:noHBand="0" w:noVBand="1" w:val="04A0"/>
      </w:tblPr>
      <w:tblGrid>
        <w:gridCol w:w="10224"/>
      </w:tblGrid>
      <w:tr>
        <w:tc>
          <w:tcPr>
            <w:tcW w:type="dxa" w:w="10224"/>
            <w:shd w:val="clear" w:fill="f4c04e"/>
          </w:tcPr>
          <w:p>
            <w:r>
              <w:rPr>
                <w:b/>
                <w:color w:val="5A4512"/>
                <w:sz w:val="19"/>
              </w:rPr>
              <w:t xml:space="preserve">WHAT I CAN DO TODAY   </w:t>
            </w:r>
            <w:r>
              <w:rPr>
                <w:color w:val="5A4512"/>
                <w:sz w:val="21"/>
              </w:rPr>
              <w:t>I can read primary sources about Fort Dearborn, weigh who made each one and why, and use evidence to answer historical questions.</w:t>
            </w:r>
          </w:p>
        </w:tc>
      </w:tr>
    </w:tbl>
    <w:p>
      <w:r>
        <w:rPr>
          <w:b/>
          <w:color w:val="B1442F"/>
        </w:rPr>
        <w:t xml:space="preserve">Directions. </w:t>
      </w:r>
      <w:r>
        <w:rPr>
          <w:sz w:val="22"/>
        </w:rPr>
        <w:t>You are on a committee deciding the wording of a new marker for this spot. Do you call it the Fort Dearborn Massacre, the Battle of Fort Dearborn, or something else — and why?</w:t>
      </w:r>
    </w:p>
    <w:p/>
    <w:p>
      <w:r>
        <w:rPr>
          <w:b/>
          <w:color w:val="B1442F"/>
          <w:sz w:val="26"/>
        </w:rPr>
        <w:t>THE SOURCES</w:t>
      </w:r>
    </w:p>
    <w:p>
      <w:pPr>
        <w:spacing w:before="160"/>
      </w:pPr>
      <w:r>
        <w:rPr>
          <w:b/>
          <w:color w:val="1C1714"/>
          <w:sz w:val="23"/>
        </w:rPr>
        <w:t>SOURCE A · 1928</w:t>
      </w:r>
    </w:p>
    <w:p>
      <w:pPr>
        <w:jc w:val="center"/>
      </w:pPr>
      <w:r>
        <w:drawing>
          <wp:inline xmlns:a="http://schemas.openxmlformats.org/drawingml/2006/main" xmlns:pic="http://schemas.openxmlformats.org/drawingml/2006/picture">
            <wp:extent cx="3931920" cy="5987695"/>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931920" cy="5987695"/>
                    </a:xfrm>
                    <a:prstGeom prst="rect"/>
                  </pic:spPr>
                </pic:pic>
              </a:graphicData>
            </a:graphic>
          </wp:inline>
        </w:drawing>
      </w:r>
    </w:p>
    <w:p>
      <w:pPr>
        <w:ind w:left="432"/>
      </w:pPr>
      <w:r>
        <w:rPr>
          <w:i/>
          <w:color w:val="1C1714"/>
          <w:sz w:val="22"/>
        </w:rPr>
        <w:t>“Fort Dearborn stood almost on this spot. After an heroic defense in eighteen hundred and twelve, the garrison, together with women and children, was forced to evacuate the fort. Led forth by Captain Wells, they were brutally massacred by the Indians. They will be cherished as martyrs in our early history.”</w:t>
      </w:r>
    </w:p>
    <w:p>
      <w:r>
        <w:rPr>
          <w:color w:val="6A6256"/>
          <w:sz w:val="17"/>
        </w:rPr>
        <w:t>“Defense,” Henry Hering, Michigan Avenue Bridge. Photograph, © ShadowDog Digital Studios (SDS Digital Collection).</w:t>
      </w:r>
    </w:p>
    <w:p>
      <w:pPr>
        <w:spacing w:before="160"/>
      </w:pPr>
      <w:r>
        <w:rPr>
          <w:b/>
          <w:color w:val="1C1714"/>
          <w:sz w:val="23"/>
        </w:rPr>
        <w:t>SOURCE B · 2009</w:t>
      </w:r>
    </w:p>
    <w:p>
      <w:pPr>
        <w:jc w:val="center"/>
      </w:pPr>
      <w:r>
        <w:drawing>
          <wp:inline xmlns:a="http://schemas.openxmlformats.org/drawingml/2006/main" xmlns:pic="http://schemas.openxmlformats.org/drawingml/2006/picture">
            <wp:extent cx="3931920" cy="589788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931920" cy="5897880"/>
                    </a:xfrm>
                    <a:prstGeom prst="rect"/>
                  </pic:spPr>
                </pic:pic>
              </a:graphicData>
            </a:graphic>
          </wp:inline>
        </w:drawing>
      </w:r>
    </w:p>
    <w:p>
      <w:pPr>
        <w:ind w:left="432"/>
      </w:pPr>
      <w:r>
        <w:rPr>
          <w:i/>
          <w:color w:val="1C1714"/>
          <w:sz w:val="22"/>
        </w:rPr>
        <w:t>“From roughly 1620 to 1820, the territory of the Potawatomi extended from what is now Green Bay, Wisconsin, to Detroit, Michigan, and included the Chicago area… During the War of 1812… some Indian tribes allied with the British to stop the westward expansion of the United States and to regain lost Indian lands. On August 15, 1812, more than 50 U.S. soldiers and 41 civilians… were ordered to evacuate Fort Dearborn… where they were attacked by about 500 Potawatomi. In the battle and aftermath, more than 60 of the evacuees and 15 Native Americans were killed. The dead included Army Captain William Wells… and Naunongee, chief of the village of Potawatomi, Ojibwe, and Ottawa Indians known as the Three Fires Confederacy. In the 1830s, the Potawatomi of Illinois were forcibly removed to lands west of the Mississippi. Potawatomi Indian Nations continue to thrive… and more than 36,000 American Indians… reside in Chicago today.”</w:t>
      </w:r>
    </w:p>
    <w:p>
      <w:r>
        <w:rPr>
          <w:color w:val="6A6256"/>
          <w:sz w:val="17"/>
        </w:rPr>
        <w:t>“Battle of Fort Dearborn” marker, Illinois State Historical Society. Photograph, © ShadowDog Digital Studios (SDS Digital Collection).</w:t>
      </w:r>
    </w:p>
    <w:p/>
    <w:p>
      <w:r>
        <w:rPr>
          <w:b/>
          <w:color w:val="B1442F"/>
          <w:sz w:val="26"/>
        </w:rPr>
        <w:t>YOUR WORK</w:t>
      </w:r>
    </w:p>
    <w:p>
      <w:pPr>
        <w:spacing w:before="200"/>
      </w:pPr>
      <w:r>
        <w:rPr>
          <w:b/>
          <w:color w:val="FFFFFF"/>
          <w:sz w:val="20"/>
          <w:shd w:val="clear" w:fill="B1442F"/>
        </w:rPr>
        <w:t xml:space="preserve">  A. IN ONE LINE EACH: WHO CREATED SOURCE A, AND SOURCE B, AND IN WHAT YEAR? HOW MANY YEARS APART ARE THEY?  </w:t>
      </w:r>
    </w:p>
    <w:p>
      <w:r>
        <w:rPr>
          <w:b w:val="0"/>
          <w:color w:val="1C1714"/>
          <w:sz w:val="23"/>
        </w:rPr>
        <w:t>a. In one line each: who created Source A, and Source B, and in what year? How many years apart are they?</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B. SOURCE A CALLS THE EVENT A “MASSACRE”; SOURCE B’S TITLE CALLS IT A “BATTLE.” BEFORE ANALYZING ANYTHING ELSE, WHAT DOES THAT ONE WORD CHOICE TELL YOU EACH MARKER WANTS YOU TO FEEL?  </w:t>
      </w:r>
    </w:p>
    <w:p>
      <w:r>
        <w:rPr>
          <w:b w:val="0"/>
          <w:color w:val="1C1714"/>
          <w:sz w:val="23"/>
        </w:rPr>
        <w:t>b. Source A calls the event a “massacre”; Source B’s title calls it a “battle.” Before analyzing anything else, what does that one word choice tell you each marker wants you to feel?</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A. NAME TWO FACTS THE TWO MARKERS AGREE ON (THE SAME EVENT IS UNDERNEATH BOTH).  </w:t>
      </w:r>
    </w:p>
    <w:p>
      <w:r>
        <w:rPr>
          <w:b w:val="0"/>
          <w:color w:val="1C1714"/>
          <w:sz w:val="23"/>
        </w:rPr>
        <w:t>a. Name two facts the two markers AGREE on (the same event is underneath both).</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B. NAME TWO THINGS SOURCE B (2009) INCLUDES THAT SOURCE A (1928) LEAVES OUT COMPLETELY. WHAT IS THE EFFECT OF LEAVING THEM OUT?  </w:t>
      </w:r>
    </w:p>
    <w:p>
      <w:r>
        <w:rPr>
          <w:b w:val="0"/>
          <w:color w:val="1C1714"/>
          <w:sz w:val="23"/>
        </w:rPr>
        <w:t>b. Name two things Source B (2009) includes that Source A (1928) leaves out completely. What is the effect of leaving them out?</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A. SOURCE A SAYS THE EVACUEES WERE “BRUTALLY MASSACRED BY THE INDIANS” AND “WILL BE CHERISHED AS MARTYRS.” WHOSE EXPERIENCE IS AT THE CENTER OF THAT SENTENCE — AND WHOSE IS ENTIRELY ABSENT?  </w:t>
      </w:r>
    </w:p>
    <w:p>
      <w:r>
        <w:rPr>
          <w:b w:val="0"/>
          <w:color w:val="1C1714"/>
          <w:sz w:val="23"/>
        </w:rPr>
        <w:t>a. Source A says the evacuees were “brutally massacred by the Indians” and “will be cherished as martyrs.” Whose experience is at the center of that sentence — and whose is entirely absent?</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B. SOURCE B NAMES A POTAWATOMI CHIEF (NAUNONGEE), COUNTS 15 NATIVE DEAD, AND ENDS BY SAYING POTAWATOMI NATIONS “CONTINUE TO THRIVE.” HOW DOES ADDING THOSE THREE THINGS CHANGE WHOSE STORY THIS BECOMES?  </w:t>
      </w:r>
    </w:p>
    <w:p>
      <w:r>
        <w:rPr>
          <w:b w:val="0"/>
          <w:color w:val="1C1714"/>
          <w:sz w:val="23"/>
        </w:rPr>
        <w:t>b. Source B names a Potawatomi chief (Naunongee), counts 15 Native dead, and ends by saying Potawatomi nations “continue to thrive.” How does adding those three things change whose story this becomes?</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CLAIM — YOUR DECISION IN ONE CLEAR SENTENCE.  </w:t>
      </w:r>
    </w:p>
    <w:p>
      <w:r>
        <w:rPr>
          <w:b w:val="0"/>
          <w:color w:val="1C1714"/>
          <w:sz w:val="23"/>
        </w:rPr>
        <w:t>CLAIM — your decision in one clear sentence.</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EVIDENCE — AT LEAST TWO SPECIFICS FROM THE PRESENTATION AND THE TWO MARKERS THAT SUPPORT YOUR CHOICE.  </w:t>
      </w:r>
    </w:p>
    <w:p>
      <w:r>
        <w:rPr>
          <w:b w:val="0"/>
          <w:color w:val="1C1714"/>
          <w:sz w:val="23"/>
        </w:rPr>
        <w:t>EVIDENCE — at least two specifics from the presentation and the two markers that support your choice.</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REASONING — CHICAGO TOOK THE 1893 STATUE DOWN AND PUT UP THE 2009 MARKER. IS IT RIGHT FOR A CITY TO REWRITE ITS OWN MONUMENTS, OR IS THAT ERASING HISTORY? DEFEND YOUR ANSWER.  </w:t>
      </w:r>
    </w:p>
    <w:p>
      <w:r>
        <w:rPr>
          <w:b w:val="0"/>
          <w:color w:val="1C1714"/>
          <w:sz w:val="23"/>
        </w:rPr>
        <w:t>REASONING — Chicago took the 1893 statue down and put up the 2009 marker. Is it right for a city to rewrite its own monuments, or is that erasing history? Defend your answer.</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jc w:val="center"/>
      </w:pPr>
      <w:r>
        <w:rPr>
          <w:color w:val="6A6256"/>
          <w:sz w:val="17"/>
        </w:rPr>
        <w:t>Promise &amp; Practice · ShadowDog Digital Studios · Unit 2</w:t>
      </w:r>
    </w:p>
    <w:p>
      <w:r>
        <w:br w:type="page"/>
      </w:r>
    </w:p>
    <w:tbl>
      <w:tblPr>
        <w:tblW w:type="auto" w:w="0"/>
        <w:tblLayout w:type="autofit"/>
        <w:tblLook w:firstColumn="1" w:firstRow="1" w:lastColumn="0" w:lastRow="0" w:noHBand="0" w:noVBand="1" w:val="04A0"/>
      </w:tblPr>
      <w:tblGrid>
        <w:gridCol w:w="10224"/>
      </w:tblGrid>
      <w:tr>
        <w:tc>
          <w:tcPr>
            <w:tcW w:type="dxa" w:w="10224"/>
            <w:shd w:val="clear" w:fill="2c2219"/>
          </w:tcPr>
          <w:p>
            <w:r>
              <w:rPr>
                <w:b/>
                <w:color w:val="F0A184"/>
                <w:sz w:val="28"/>
              </w:rPr>
              <w:t>TEACHER ANSWER KEY  —  Fort Dearborn</w:t>
            </w:r>
          </w:p>
        </w:tc>
      </w:tr>
    </w:tbl>
    <w:p/>
    <w:p>
      <w:r>
        <w:rPr>
          <w:b/>
          <w:color w:val="B1442F"/>
          <w:sz w:val="22"/>
        </w:rPr>
        <w:t xml:space="preserve">a. In one line each: who created Source A, and Source B, and in what year? How many years apart are they?:  </w:t>
      </w:r>
      <w:r>
        <w:rPr>
          <w:sz w:val="22"/>
        </w:rPr>
        <w:t>Open response.</w:t>
      </w:r>
    </w:p>
    <w:p>
      <w:r>
        <w:rPr>
          <w:b/>
          <w:color w:val="B1442F"/>
          <w:sz w:val="22"/>
        </w:rPr>
        <w:t xml:space="preserve">b. Source A calls the event a “massacre”; Source B’s title calls it a “battle.” Before analyzing anything else, what does that one word choice tell you each marker wants you to feel?:  </w:t>
      </w:r>
      <w:r>
        <w:rPr>
          <w:sz w:val="22"/>
        </w:rPr>
        <w:t>Open response.</w:t>
      </w:r>
    </w:p>
    <w:p>
      <w:r>
        <w:rPr>
          <w:b/>
          <w:color w:val="B1442F"/>
          <w:sz w:val="22"/>
        </w:rPr>
        <w:t xml:space="preserve">a. Name two facts the two markers AGREE on (the same event is underneath both).:  </w:t>
      </w:r>
      <w:r>
        <w:rPr>
          <w:sz w:val="22"/>
        </w:rPr>
        <w:t>Open response.</w:t>
      </w:r>
    </w:p>
    <w:p>
      <w:r>
        <w:rPr>
          <w:b/>
          <w:color w:val="B1442F"/>
          <w:sz w:val="22"/>
        </w:rPr>
        <w:t xml:space="preserve">b. Name two things Source B (2009) includes that Source A (1928) leaves out completely. What is the effect of leaving them out?:  </w:t>
      </w:r>
      <w:r>
        <w:rPr>
          <w:sz w:val="22"/>
        </w:rPr>
        <w:t>Open response.</w:t>
      </w:r>
    </w:p>
    <w:p>
      <w:r>
        <w:rPr>
          <w:b/>
          <w:color w:val="B1442F"/>
          <w:sz w:val="22"/>
        </w:rPr>
        <w:t xml:space="preserve">a. Source A says the evacuees were “brutally massacred by the Indians” and “will be cherished as martyrs.” Whose experience is at the center of that sentence — and whose is entirely absent?:  </w:t>
      </w:r>
      <w:r>
        <w:rPr>
          <w:sz w:val="22"/>
        </w:rPr>
        <w:t>Open response.</w:t>
      </w:r>
    </w:p>
    <w:p>
      <w:r>
        <w:rPr>
          <w:b/>
          <w:color w:val="B1442F"/>
          <w:sz w:val="22"/>
        </w:rPr>
        <w:t xml:space="preserve">b. Source B names a Potawatomi chief (Naunongee), counts 15 Native dead, and ends by saying Potawatomi nations “continue to thrive.” How does adding those three things change whose story this becomes?:  </w:t>
      </w:r>
      <w:r>
        <w:rPr>
          <w:sz w:val="22"/>
        </w:rPr>
        <w:t>Open response.</w:t>
      </w:r>
    </w:p>
    <w:p>
      <w:r>
        <w:rPr>
          <w:b/>
          <w:color w:val="B1442F"/>
          <w:sz w:val="22"/>
        </w:rPr>
        <w:t xml:space="preserve">CLAIM — your decision in one clear sentence.:  </w:t>
      </w:r>
      <w:r>
        <w:rPr>
          <w:sz w:val="22"/>
        </w:rPr>
        <w:t>Open response.</w:t>
      </w:r>
    </w:p>
    <w:p>
      <w:pPr>
        <w:ind w:left="432"/>
      </w:pPr>
      <w:r>
        <w:rPr>
          <w:i/>
          <w:color w:val="6A6256"/>
          <w:sz w:val="21"/>
        </w:rPr>
        <w:t>Look for a response along the lines of: “We should call it …”</w:t>
      </w:r>
    </w:p>
    <w:p>
      <w:r>
        <w:rPr>
          <w:b/>
          <w:color w:val="B1442F"/>
          <w:sz w:val="22"/>
        </w:rPr>
        <w:t xml:space="preserve">EVIDENCE — at least two specifics from the presentation and the two markers that support your choice.:  </w:t>
      </w:r>
      <w:r>
        <w:rPr>
          <w:sz w:val="22"/>
        </w:rPr>
        <w:t>Open response.</w:t>
      </w:r>
    </w:p>
    <w:p>
      <w:r>
        <w:rPr>
          <w:b/>
          <w:color w:val="B1442F"/>
          <w:sz w:val="22"/>
        </w:rPr>
        <w:t xml:space="preserve">REASONING — Chicago took the 1893 statue down and put up the 2009 marker. Is it right for a city to rewrite its own monuments, or is that erasing history? Defend your answer.:  </w:t>
      </w:r>
      <w:r>
        <w:rPr>
          <w:sz w:val="22"/>
        </w:rPr>
        <w:t>Open response.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