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OPINION</w:t>
      </w:r>
    </w:p>
    <w:p/>
    <w:p>
      <w:pPr>
        <w:jc w:val="center"/>
      </w:pPr>
      <w:r>
        <w:t>Property Transfer Analysis Report</w:t>
      </w:r>
    </w:p>
    <w:p/>
    <w:p>
      <w:pPr>
        <w:pStyle w:val="Heading1"/>
      </w:pPr>
      <w:r>
        <w:t>Property Details</w:t>
      </w:r>
    </w:p>
    <w:tbl>
      <w:tblPr>
        <w:tblStyle w:val="TableGrid"/>
        <w:tblW w:type="auto" w:w="0"/>
        <w:tblLook w:firstColumn="1" w:firstRow="1" w:lastColumn="0" w:lastRow="0" w:noHBand="0" w:noVBand="1" w:val="04A0"/>
      </w:tblPr>
      <w:tblGrid>
        <w:gridCol w:w="4320"/>
        <w:gridCol w:w="4320"/>
      </w:tblGrid>
      <w:tr>
        <w:tc>
          <w:tcPr>
            <w:tcW w:type="dxa" w:w="4320"/>
          </w:tcPr>
          <w:p>
            <w:r>
              <w:t>Plot Number:</w:t>
            </w:r>
          </w:p>
        </w:tc>
        <w:tc>
          <w:tcPr>
            <w:tcW w:type="dxa" w:w="4320"/>
          </w:tcPr>
          <w:p>
            <w:r>
              <w:t>21</w:t>
            </w:r>
          </w:p>
        </w:tc>
      </w:tr>
      <w:tr>
        <w:tc>
          <w:tcPr>
            <w:tcW w:type="dxa" w:w="4320"/>
          </w:tcPr>
          <w:p>
            <w:r>
              <w:t>Block:</w:t>
            </w:r>
          </w:p>
        </w:tc>
        <w:tc>
          <w:tcPr>
            <w:tcW w:type="dxa" w:w="4320"/>
          </w:tcPr>
          <w:p>
            <w:r>
              <w:t>G</w:t>
            </w:r>
          </w:p>
        </w:tc>
      </w:tr>
      <w:tr>
        <w:tc>
          <w:tcPr>
            <w:tcW w:type="dxa" w:w="4320"/>
          </w:tcPr>
          <w:p>
            <w:r>
              <w:t>Society:</w:t>
            </w:r>
          </w:p>
        </w:tc>
        <w:tc>
          <w:tcPr>
            <w:tcW w:type="dxa" w:w="4320"/>
          </w:tcPr>
          <w:p>
            <w:r>
              <w:t>DHA Phase 5</w:t>
            </w:r>
          </w:p>
        </w:tc>
      </w:tr>
      <w:tr>
        <w:tc>
          <w:tcPr>
            <w:tcW w:type="dxa" w:w="4320"/>
          </w:tcPr>
          <w:p>
            <w:r>
              <w:t>City:</w:t>
            </w:r>
          </w:p>
        </w:tc>
        <w:tc>
          <w:tcPr>
            <w:tcW w:type="dxa" w:w="4320"/>
          </w:tcPr>
          <w:p>
            <w:r>
              <w:t>Lahore</w:t>
            </w:r>
          </w:p>
        </w:tc>
      </w:tr>
      <w:tr>
        <w:tc>
          <w:tcPr>
            <w:tcW w:type="dxa" w:w="4320"/>
          </w:tcPr>
          <w:p>
            <w:r>
              <w:t>Area:</w:t>
            </w:r>
          </w:p>
        </w:tc>
        <w:tc>
          <w:tcPr>
            <w:tcW w:type="dxa" w:w="4320"/>
          </w:tcPr>
          <w:p>
            <w:r>
              <w:t>10 Marla</w:t>
            </w:r>
          </w:p>
        </w:tc>
      </w:tr>
    </w:tbl>
    <w:p/>
    <w:p>
      <w:pPr>
        <w:pStyle w:val="Heading1"/>
      </w:pPr>
      <w:r>
        <w:t>Legal Opinion</w:t>
      </w:r>
    </w:p>
    <w:p>
      <w:r>
        <w:t>This document confirms that the property located at Plot No. 21, Block G, DHA Phase 5, Lahore is legally valid for transfer. All documentation has been verified and found to be in order.</w:t>
      </w:r>
    </w:p>
    <w:p>
      <w:r>
        <w:t>The title is clear and free from any encumbrances. The property can be safely mortgaged or transferred.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