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
        <w:ind w:left="0"/>
        <w:jc w:val="left"/>
        <w:rPr>
          <w:rFonts w:ascii="Times New Roman"/>
          <w:sz w:val="30"/>
        </w:rPr>
      </w:pPr>
    </w:p>
    <w:p>
      <w:pPr>
        <w:pStyle w:val="Heading1"/>
        <w:numPr>
          <w:ilvl w:val="0"/>
          <w:numId w:val="1"/>
        </w:numPr>
        <w:tabs>
          <w:tab w:pos="512" w:val="left" w:leader="none"/>
          <w:tab w:pos="11321" w:val="left" w:leader="none"/>
        </w:tabs>
        <w:spacing w:line="240" w:lineRule="auto" w:before="1" w:after="0"/>
        <w:ind w:left="512" w:right="0" w:hanging="231"/>
        <w:jc w:val="left"/>
        <w:rPr>
          <w:u w:val="none"/>
        </w:rPr>
      </w:pPr>
      <w:r>
        <w:rPr>
          <w:color w:val="ED0000"/>
          <w:spacing w:val="-4"/>
          <w:u w:val="single" w:color="4471C4"/>
        </w:rPr>
        <w:t> </w:t>
      </w:r>
      <w:r>
        <w:rPr>
          <w:color w:val="ED0000"/>
          <w:u w:val="single" w:color="4471C4"/>
        </w:rPr>
        <w:t>​</w:t>
      </w:r>
      <w:r>
        <w:rPr>
          <w:color w:val="ED0000"/>
          <w:spacing w:val="-5"/>
          <w:u w:val="single" w:color="4471C4"/>
        </w:rPr>
        <w:t> </w:t>
      </w:r>
      <w:r>
        <w:rPr>
          <w:color w:val="ED0000"/>
          <w:u w:val="single" w:color="4471C4"/>
        </w:rPr>
        <w:t>Non-Functional</w:t>
      </w:r>
      <w:r>
        <w:rPr>
          <w:color w:val="ED0000"/>
          <w:spacing w:val="-2"/>
          <w:u w:val="single" w:color="4471C4"/>
        </w:rPr>
        <w:t> </w:t>
      </w:r>
      <w:r>
        <w:rPr>
          <w:color w:val="ED0000"/>
          <w:u w:val="single" w:color="4471C4"/>
        </w:rPr>
        <w:t>Requirements</w:t>
      </w:r>
      <w:r>
        <w:rPr>
          <w:color w:val="ED0000"/>
          <w:spacing w:val="-3"/>
          <w:u w:val="single" w:color="4471C4"/>
        </w:rPr>
        <w:t> </w:t>
      </w:r>
      <w:r>
        <w:rPr>
          <w:color w:val="ED0000"/>
          <w:spacing w:val="-2"/>
          <w:u w:val="single" w:color="4471C4"/>
        </w:rPr>
        <w:t>(NFRs)</w:t>
      </w:r>
      <w:r>
        <w:rPr>
          <w:color w:val="ED0000"/>
          <w:u w:val="single" w:color="4471C4"/>
        </w:rPr>
        <w:tab/>
      </w:r>
    </w:p>
    <w:p>
      <w:pPr>
        <w:spacing w:before="209"/>
        <w:ind w:left="310" w:right="190" w:firstLine="0"/>
        <w:jc w:val="both"/>
        <w:rPr>
          <w:sz w:val="22"/>
        </w:rPr>
      </w:pPr>
      <w:r>
        <w:rPr>
          <w:sz w:val="22"/>
        </w:rPr>
        <w:t>This section</w:t>
      </w:r>
      <w:r>
        <w:rPr>
          <w:spacing w:val="-3"/>
          <w:sz w:val="22"/>
        </w:rPr>
        <w:t> </w:t>
      </w:r>
      <w:r>
        <w:rPr>
          <w:sz w:val="22"/>
        </w:rPr>
        <w:t>specifies</w:t>
      </w:r>
      <w:r>
        <w:rPr>
          <w:spacing w:val="-1"/>
          <w:sz w:val="22"/>
        </w:rPr>
        <w:t> </w:t>
      </w:r>
      <w:r>
        <w:rPr>
          <w:sz w:val="22"/>
        </w:rPr>
        <w:t>the quality attributes</w:t>
      </w:r>
      <w:r>
        <w:rPr>
          <w:spacing w:val="-2"/>
          <w:sz w:val="22"/>
        </w:rPr>
        <w:t> </w:t>
      </w:r>
      <w:r>
        <w:rPr>
          <w:sz w:val="22"/>
        </w:rPr>
        <w:t>and</w:t>
      </w:r>
      <w:r>
        <w:rPr>
          <w:spacing w:val="-3"/>
          <w:sz w:val="22"/>
        </w:rPr>
        <w:t> </w:t>
      </w:r>
      <w:r>
        <w:rPr>
          <w:sz w:val="22"/>
        </w:rPr>
        <w:t>operational</w:t>
      </w:r>
      <w:r>
        <w:rPr>
          <w:spacing w:val="-2"/>
          <w:sz w:val="22"/>
        </w:rPr>
        <w:t> </w:t>
      </w:r>
      <w:r>
        <w:rPr>
          <w:sz w:val="22"/>
        </w:rPr>
        <w:t>constraints</w:t>
      </w:r>
      <w:r>
        <w:rPr>
          <w:spacing w:val="-1"/>
          <w:sz w:val="22"/>
        </w:rPr>
        <w:t> </w:t>
      </w:r>
      <w:r>
        <w:rPr>
          <w:sz w:val="22"/>
        </w:rPr>
        <w:t>that</w:t>
      </w:r>
      <w:r>
        <w:rPr>
          <w:spacing w:val="-2"/>
          <w:sz w:val="22"/>
        </w:rPr>
        <w:t> </w:t>
      </w:r>
      <w:r>
        <w:rPr>
          <w:sz w:val="22"/>
        </w:rPr>
        <w:t>the</w:t>
      </w:r>
      <w:r>
        <w:rPr>
          <w:spacing w:val="-2"/>
          <w:sz w:val="22"/>
        </w:rPr>
        <w:t> </w:t>
      </w:r>
      <w:r>
        <w:rPr>
          <w:sz w:val="22"/>
        </w:rPr>
        <w:t>Collaborative Group</w:t>
      </w:r>
      <w:r>
        <w:rPr>
          <w:spacing w:val="-3"/>
          <w:sz w:val="22"/>
        </w:rPr>
        <w:t> </w:t>
      </w:r>
      <w:r>
        <w:rPr>
          <w:sz w:val="22"/>
        </w:rPr>
        <w:t>Travel</w:t>
      </w:r>
      <w:r>
        <w:rPr>
          <w:spacing w:val="-2"/>
          <w:sz w:val="22"/>
        </w:rPr>
        <w:t> </w:t>
      </w:r>
      <w:r>
        <w:rPr>
          <w:sz w:val="22"/>
        </w:rPr>
        <w:t>Planner system must</w:t>
      </w:r>
      <w:r>
        <w:rPr>
          <w:spacing w:val="-8"/>
          <w:sz w:val="22"/>
        </w:rPr>
        <w:t> </w:t>
      </w:r>
      <w:r>
        <w:rPr>
          <w:sz w:val="22"/>
        </w:rPr>
        <w:t>satisfy.</w:t>
      </w:r>
      <w:r>
        <w:rPr>
          <w:spacing w:val="-7"/>
          <w:sz w:val="22"/>
        </w:rPr>
        <w:t> </w:t>
      </w:r>
      <w:r>
        <w:rPr>
          <w:sz w:val="22"/>
        </w:rPr>
        <w:t>All</w:t>
      </w:r>
      <w:r>
        <w:rPr>
          <w:spacing w:val="-9"/>
          <w:sz w:val="22"/>
        </w:rPr>
        <w:t> </w:t>
      </w:r>
      <w:r>
        <w:rPr>
          <w:sz w:val="22"/>
        </w:rPr>
        <w:t>requirements</w:t>
      </w:r>
      <w:r>
        <w:rPr>
          <w:spacing w:val="-6"/>
          <w:sz w:val="22"/>
        </w:rPr>
        <w:t> </w:t>
      </w:r>
      <w:r>
        <w:rPr>
          <w:sz w:val="22"/>
        </w:rPr>
        <w:t>are</w:t>
      </w:r>
      <w:r>
        <w:rPr>
          <w:spacing w:val="-9"/>
          <w:sz w:val="22"/>
        </w:rPr>
        <w:t> </w:t>
      </w:r>
      <w:r>
        <w:rPr>
          <w:sz w:val="22"/>
        </w:rPr>
        <w:t>stated</w:t>
      </w:r>
      <w:r>
        <w:rPr>
          <w:spacing w:val="-7"/>
          <w:sz w:val="22"/>
        </w:rPr>
        <w:t> </w:t>
      </w:r>
      <w:r>
        <w:rPr>
          <w:sz w:val="22"/>
        </w:rPr>
        <w:t>in</w:t>
      </w:r>
      <w:r>
        <w:rPr>
          <w:spacing w:val="-10"/>
          <w:sz w:val="22"/>
        </w:rPr>
        <w:t> </w:t>
      </w:r>
      <w:r>
        <w:rPr>
          <w:sz w:val="22"/>
        </w:rPr>
        <w:t>measurable,</w:t>
      </w:r>
      <w:r>
        <w:rPr>
          <w:spacing w:val="-6"/>
          <w:sz w:val="22"/>
        </w:rPr>
        <w:t> </w:t>
      </w:r>
      <w:r>
        <w:rPr>
          <w:sz w:val="22"/>
        </w:rPr>
        <w:t>testable</w:t>
      </w:r>
      <w:r>
        <w:rPr>
          <w:spacing w:val="-9"/>
          <w:sz w:val="22"/>
        </w:rPr>
        <w:t> </w:t>
      </w:r>
      <w:r>
        <w:rPr>
          <w:sz w:val="22"/>
        </w:rPr>
        <w:t>terms</w:t>
      </w:r>
      <w:r>
        <w:rPr>
          <w:spacing w:val="-7"/>
          <w:sz w:val="22"/>
        </w:rPr>
        <w:t> </w:t>
      </w:r>
      <w:r>
        <w:rPr>
          <w:sz w:val="22"/>
        </w:rPr>
        <w:t>and</w:t>
      </w:r>
      <w:r>
        <w:rPr>
          <w:spacing w:val="-7"/>
          <w:sz w:val="22"/>
        </w:rPr>
        <w:t> </w:t>
      </w:r>
      <w:r>
        <w:rPr>
          <w:sz w:val="22"/>
        </w:rPr>
        <w:t>are</w:t>
      </w:r>
      <w:r>
        <w:rPr>
          <w:spacing w:val="-6"/>
          <w:sz w:val="22"/>
        </w:rPr>
        <w:t> </w:t>
      </w:r>
      <w:r>
        <w:rPr>
          <w:sz w:val="22"/>
        </w:rPr>
        <w:t>independent</w:t>
      </w:r>
      <w:r>
        <w:rPr>
          <w:spacing w:val="-9"/>
          <w:sz w:val="22"/>
        </w:rPr>
        <w:t> </w:t>
      </w:r>
      <w:r>
        <w:rPr>
          <w:sz w:val="22"/>
        </w:rPr>
        <w:t>of</w:t>
      </w:r>
      <w:r>
        <w:rPr>
          <w:spacing w:val="-7"/>
          <w:sz w:val="22"/>
        </w:rPr>
        <w:t> </w:t>
      </w:r>
      <w:r>
        <w:rPr>
          <w:sz w:val="22"/>
        </w:rPr>
        <w:t>any</w:t>
      </w:r>
      <w:r>
        <w:rPr>
          <w:spacing w:val="-6"/>
          <w:sz w:val="22"/>
        </w:rPr>
        <w:t> </w:t>
      </w:r>
      <w:r>
        <w:rPr>
          <w:sz w:val="22"/>
        </w:rPr>
        <w:t>specific</w:t>
      </w:r>
      <w:r>
        <w:rPr>
          <w:spacing w:val="-9"/>
          <w:sz w:val="22"/>
        </w:rPr>
        <w:t> </w:t>
      </w:r>
      <w:r>
        <w:rPr>
          <w:sz w:val="22"/>
        </w:rPr>
        <w:t>implementation decisions unless otherwise noted. Requirements are classified using the MoSCoW scheme and are traceable to the system architecture described in Section 2.</w:t>
      </w:r>
    </w:p>
    <w:p>
      <w:pPr>
        <w:pStyle w:val="BodyText"/>
        <w:spacing w:before="14"/>
        <w:ind w:left="0"/>
        <w:jc w:val="left"/>
        <w:rPr>
          <w:sz w:val="22"/>
        </w:rPr>
      </w:pPr>
    </w:p>
    <w:p>
      <w:pPr>
        <w:pStyle w:val="Heading3"/>
        <w:numPr>
          <w:ilvl w:val="1"/>
          <w:numId w:val="1"/>
        </w:numPr>
        <w:tabs>
          <w:tab w:pos="756" w:val="left" w:leader="none"/>
        </w:tabs>
        <w:spacing w:line="240" w:lineRule="auto" w:before="0" w:after="0"/>
        <w:ind w:left="756" w:right="0" w:hanging="446"/>
        <w:jc w:val="left"/>
        <w:rPr>
          <w:color w:val="ED0000"/>
        </w:rPr>
      </w:pPr>
      <w:r>
        <w:rPr>
          <w:color w:val="ED0000"/>
        </w:rPr>
        <w:t>NFR</w:t>
      </w:r>
      <w:r>
        <w:rPr>
          <w:color w:val="ED0000"/>
          <w:spacing w:val="-6"/>
        </w:rPr>
        <w:t> </w:t>
      </w:r>
      <w:r>
        <w:rPr>
          <w:color w:val="ED0000"/>
        </w:rPr>
        <w:t>Summary</w:t>
      </w:r>
      <w:r>
        <w:rPr>
          <w:color w:val="ED0000"/>
          <w:spacing w:val="-7"/>
        </w:rPr>
        <w:t> </w:t>
      </w:r>
      <w:r>
        <w:rPr>
          <w:color w:val="ED0000"/>
          <w:spacing w:val="-4"/>
        </w:rPr>
        <w:t>Table</w:t>
      </w:r>
    </w:p>
    <w:p>
      <w:pPr>
        <w:spacing w:before="157"/>
        <w:ind w:left="310" w:right="190" w:firstLine="0"/>
        <w:jc w:val="both"/>
        <w:rPr>
          <w:sz w:val="22"/>
        </w:rPr>
      </w:pPr>
      <w:r>
        <w:rPr>
          <w:sz w:val="22"/>
        </w:rPr>
        <w:t>Table</w:t>
      </w:r>
      <w:r>
        <w:rPr>
          <w:spacing w:val="-6"/>
          <w:sz w:val="22"/>
        </w:rPr>
        <w:t> </w:t>
      </w:r>
      <w:r>
        <w:rPr>
          <w:sz w:val="22"/>
        </w:rPr>
        <w:t>3.0</w:t>
      </w:r>
      <w:r>
        <w:rPr>
          <w:spacing w:val="-6"/>
          <w:sz w:val="22"/>
        </w:rPr>
        <w:t> </w:t>
      </w:r>
      <w:r>
        <w:rPr>
          <w:sz w:val="22"/>
        </w:rPr>
        <w:t>provides</w:t>
      </w:r>
      <w:r>
        <w:rPr>
          <w:spacing w:val="-6"/>
          <w:sz w:val="22"/>
        </w:rPr>
        <w:t> </w:t>
      </w:r>
      <w:r>
        <w:rPr>
          <w:sz w:val="22"/>
        </w:rPr>
        <w:t>a</w:t>
      </w:r>
      <w:r>
        <w:rPr>
          <w:spacing w:val="-7"/>
          <w:sz w:val="22"/>
        </w:rPr>
        <w:t> </w:t>
      </w:r>
      <w:r>
        <w:rPr>
          <w:sz w:val="22"/>
        </w:rPr>
        <w:t>consolidated</w:t>
      </w:r>
      <w:r>
        <w:rPr>
          <w:spacing w:val="-7"/>
          <w:sz w:val="22"/>
        </w:rPr>
        <w:t> </w:t>
      </w:r>
      <w:r>
        <w:rPr>
          <w:sz w:val="22"/>
        </w:rPr>
        <w:t>overview</w:t>
      </w:r>
      <w:r>
        <w:rPr>
          <w:spacing w:val="-8"/>
          <w:sz w:val="22"/>
        </w:rPr>
        <w:t> </w:t>
      </w:r>
      <w:r>
        <w:rPr>
          <w:sz w:val="22"/>
        </w:rPr>
        <w:t>of</w:t>
      </w:r>
      <w:r>
        <w:rPr>
          <w:spacing w:val="-7"/>
          <w:sz w:val="22"/>
        </w:rPr>
        <w:t> </w:t>
      </w:r>
      <w:r>
        <w:rPr>
          <w:sz w:val="22"/>
        </w:rPr>
        <w:t>all</w:t>
      </w:r>
      <w:r>
        <w:rPr>
          <w:spacing w:val="-7"/>
          <w:sz w:val="22"/>
        </w:rPr>
        <w:t> </w:t>
      </w:r>
      <w:r>
        <w:rPr>
          <w:sz w:val="22"/>
        </w:rPr>
        <w:t>non-functional</w:t>
      </w:r>
      <w:r>
        <w:rPr>
          <w:spacing w:val="-7"/>
          <w:sz w:val="22"/>
        </w:rPr>
        <w:t> </w:t>
      </w:r>
      <w:r>
        <w:rPr>
          <w:sz w:val="22"/>
        </w:rPr>
        <w:t>requirements.</w:t>
      </w:r>
      <w:r>
        <w:rPr>
          <w:spacing w:val="-7"/>
          <w:sz w:val="22"/>
        </w:rPr>
        <w:t> </w:t>
      </w:r>
      <w:r>
        <w:rPr>
          <w:sz w:val="22"/>
        </w:rPr>
        <w:t>Detailed</w:t>
      </w:r>
      <w:r>
        <w:rPr>
          <w:spacing w:val="-7"/>
          <w:sz w:val="22"/>
        </w:rPr>
        <w:t> </w:t>
      </w:r>
      <w:r>
        <w:rPr>
          <w:sz w:val="22"/>
        </w:rPr>
        <w:t>specifications</w:t>
      </w:r>
      <w:r>
        <w:rPr>
          <w:spacing w:val="-7"/>
          <w:sz w:val="22"/>
        </w:rPr>
        <w:t> </w:t>
      </w:r>
      <w:r>
        <w:rPr>
          <w:sz w:val="22"/>
        </w:rPr>
        <w:t>follow</w:t>
      </w:r>
      <w:r>
        <w:rPr>
          <w:spacing w:val="-8"/>
          <w:sz w:val="22"/>
        </w:rPr>
        <w:t> </w:t>
      </w:r>
      <w:r>
        <w:rPr>
          <w:sz w:val="22"/>
        </w:rPr>
        <w:t>in</w:t>
      </w:r>
      <w:r>
        <w:rPr>
          <w:spacing w:val="-8"/>
          <w:sz w:val="22"/>
        </w:rPr>
        <w:t> </w:t>
      </w:r>
      <w:r>
        <w:rPr>
          <w:sz w:val="22"/>
        </w:rPr>
        <w:t>Sections</w:t>
      </w:r>
      <w:r>
        <w:rPr>
          <w:spacing w:val="-9"/>
          <w:sz w:val="22"/>
        </w:rPr>
        <w:t> </w:t>
      </w:r>
      <w:r>
        <w:rPr>
          <w:sz w:val="22"/>
        </w:rPr>
        <w:t>3.1 through 3.5.</w:t>
      </w:r>
    </w:p>
    <w:p>
      <w:pPr>
        <w:pStyle w:val="BodyText"/>
        <w:spacing w:before="11" w:after="1"/>
        <w:ind w:left="0"/>
        <w:jc w:val="left"/>
        <w:rPr>
          <w:sz w:val="9"/>
        </w:rPr>
      </w:pPr>
    </w:p>
    <w:tbl>
      <w:tblPr>
        <w:tblW w:w="0" w:type="auto"/>
        <w:jc w:val="left"/>
        <w:tblInd w:w="144" w:type="dxa"/>
        <w:tblBorders>
          <w:top w:val="single" w:sz="2" w:space="0" w:color="BCD6ED"/>
          <w:left w:val="single" w:sz="2" w:space="0" w:color="BCD6ED"/>
          <w:bottom w:val="single" w:sz="2" w:space="0" w:color="BCD6ED"/>
          <w:right w:val="single" w:sz="2" w:space="0" w:color="BCD6ED"/>
          <w:insideH w:val="single" w:sz="2" w:space="0" w:color="BCD6ED"/>
          <w:insideV w:val="single" w:sz="2" w:space="0" w:color="BCD6ED"/>
        </w:tblBorders>
        <w:tblLayout w:type="fixed"/>
        <w:tblCellMar>
          <w:top w:w="0" w:type="dxa"/>
          <w:left w:w="0" w:type="dxa"/>
          <w:bottom w:w="0" w:type="dxa"/>
          <w:right w:w="0" w:type="dxa"/>
        </w:tblCellMar>
        <w:tblLook w:val="01E0"/>
      </w:tblPr>
      <w:tblGrid>
        <w:gridCol w:w="2096"/>
        <w:gridCol w:w="4926"/>
        <w:gridCol w:w="2929"/>
        <w:gridCol w:w="1364"/>
      </w:tblGrid>
      <w:tr>
        <w:trPr>
          <w:trHeight w:val="686" w:hRule="atLeast"/>
        </w:trPr>
        <w:tc>
          <w:tcPr>
            <w:tcW w:w="2096" w:type="dxa"/>
            <w:shd w:val="clear" w:color="auto" w:fill="1F3863"/>
          </w:tcPr>
          <w:p>
            <w:pPr>
              <w:pStyle w:val="TableParagraph"/>
              <w:spacing w:before="221"/>
              <w:ind w:left="2" w:right="2"/>
              <w:rPr>
                <w:b/>
                <w:sz w:val="20"/>
              </w:rPr>
            </w:pPr>
            <w:r>
              <w:rPr>
                <w:b/>
                <w:color w:val="FFFFFF"/>
                <w:spacing w:val="-2"/>
                <w:sz w:val="20"/>
              </w:rPr>
              <w:t>Category</w:t>
            </w:r>
          </w:p>
        </w:tc>
        <w:tc>
          <w:tcPr>
            <w:tcW w:w="4926" w:type="dxa"/>
            <w:shd w:val="clear" w:color="auto" w:fill="1F3863"/>
          </w:tcPr>
          <w:p>
            <w:pPr>
              <w:pStyle w:val="TableParagraph"/>
              <w:spacing w:before="221"/>
              <w:ind w:left="1418"/>
              <w:jc w:val="left"/>
              <w:rPr>
                <w:b/>
                <w:sz w:val="20"/>
              </w:rPr>
            </w:pPr>
            <w:r>
              <w:rPr>
                <w:b/>
                <w:color w:val="FFFFFF"/>
                <w:spacing w:val="-2"/>
                <w:sz w:val="20"/>
              </w:rPr>
              <w:t>Requirement</w:t>
            </w:r>
            <w:r>
              <w:rPr>
                <w:b/>
                <w:color w:val="FFFFFF"/>
                <w:spacing w:val="10"/>
                <w:sz w:val="20"/>
              </w:rPr>
              <w:t> </w:t>
            </w:r>
            <w:r>
              <w:rPr>
                <w:b/>
                <w:color w:val="FFFFFF"/>
                <w:spacing w:val="-2"/>
                <w:sz w:val="20"/>
              </w:rPr>
              <w:t>Description</w:t>
            </w:r>
          </w:p>
        </w:tc>
        <w:tc>
          <w:tcPr>
            <w:tcW w:w="2929" w:type="dxa"/>
            <w:shd w:val="clear" w:color="auto" w:fill="1F3863"/>
          </w:tcPr>
          <w:p>
            <w:pPr>
              <w:pStyle w:val="TableParagraph"/>
              <w:spacing w:before="221"/>
              <w:ind w:left="4"/>
              <w:rPr>
                <w:b/>
                <w:sz w:val="20"/>
              </w:rPr>
            </w:pPr>
            <w:r>
              <w:rPr>
                <w:b/>
                <w:color w:val="FFFFFF"/>
                <w:sz w:val="20"/>
              </w:rPr>
              <w:t>Metric</w:t>
            </w:r>
            <w:r>
              <w:rPr>
                <w:b/>
                <w:color w:val="FFFFFF"/>
                <w:spacing w:val="-4"/>
                <w:sz w:val="20"/>
              </w:rPr>
              <w:t> </w:t>
            </w:r>
            <w:r>
              <w:rPr>
                <w:b/>
                <w:color w:val="FFFFFF"/>
                <w:sz w:val="20"/>
              </w:rPr>
              <w:t>/</w:t>
            </w:r>
            <w:r>
              <w:rPr>
                <w:b/>
                <w:color w:val="FFFFFF"/>
                <w:spacing w:val="-2"/>
                <w:sz w:val="20"/>
              </w:rPr>
              <w:t> Measurement</w:t>
            </w:r>
          </w:p>
        </w:tc>
        <w:tc>
          <w:tcPr>
            <w:tcW w:w="1364" w:type="dxa"/>
            <w:shd w:val="clear" w:color="auto" w:fill="1F3863"/>
          </w:tcPr>
          <w:p>
            <w:pPr>
              <w:pStyle w:val="TableParagraph"/>
              <w:spacing w:before="221"/>
              <w:ind w:right="3"/>
              <w:rPr>
                <w:b/>
                <w:sz w:val="20"/>
              </w:rPr>
            </w:pPr>
            <w:r>
              <w:rPr>
                <w:b/>
                <w:color w:val="FFFFFF"/>
                <w:spacing w:val="-2"/>
                <w:sz w:val="20"/>
              </w:rPr>
              <w:t>Priority</w:t>
            </w:r>
          </w:p>
        </w:tc>
      </w:tr>
      <w:tr>
        <w:trPr>
          <w:trHeight w:val="400" w:hRule="atLeast"/>
        </w:trPr>
        <w:tc>
          <w:tcPr>
            <w:tcW w:w="2096" w:type="dxa"/>
            <w:shd w:val="clear" w:color="auto" w:fill="EBF1F9"/>
          </w:tcPr>
          <w:p>
            <w:pPr>
              <w:pStyle w:val="TableParagraph"/>
              <w:spacing w:before="79"/>
              <w:ind w:left="2" w:right="1"/>
              <w:rPr>
                <w:sz w:val="20"/>
              </w:rPr>
            </w:pPr>
            <w:r>
              <w:rPr>
                <w:spacing w:val="-2"/>
                <w:sz w:val="20"/>
              </w:rPr>
              <w:t>Performance</w:t>
            </w:r>
          </w:p>
        </w:tc>
        <w:tc>
          <w:tcPr>
            <w:tcW w:w="4926" w:type="dxa"/>
            <w:shd w:val="clear" w:color="auto" w:fill="EBF1F9"/>
          </w:tcPr>
          <w:p>
            <w:pPr>
              <w:pStyle w:val="TableParagraph"/>
              <w:spacing w:before="79"/>
              <w:ind w:left="138"/>
              <w:jc w:val="left"/>
              <w:rPr>
                <w:sz w:val="20"/>
              </w:rPr>
            </w:pPr>
            <w:r>
              <w:rPr>
                <w:sz w:val="20"/>
              </w:rPr>
              <w:t>Itinerary</w:t>
            </w:r>
            <w:r>
              <w:rPr>
                <w:spacing w:val="-5"/>
                <w:sz w:val="20"/>
              </w:rPr>
              <w:t> </w:t>
            </w:r>
            <w:r>
              <w:rPr>
                <w:sz w:val="20"/>
              </w:rPr>
              <w:t>rendering</w:t>
            </w:r>
            <w:r>
              <w:rPr>
                <w:spacing w:val="-6"/>
                <w:sz w:val="20"/>
              </w:rPr>
              <w:t> </w:t>
            </w:r>
            <w:r>
              <w:rPr>
                <w:sz w:val="20"/>
              </w:rPr>
              <w:t>for</w:t>
            </w:r>
            <w:r>
              <w:rPr>
                <w:spacing w:val="-5"/>
                <w:sz w:val="20"/>
              </w:rPr>
              <w:t> </w:t>
            </w:r>
            <w:r>
              <w:rPr>
                <w:sz w:val="20"/>
              </w:rPr>
              <w:t>up</w:t>
            </w:r>
            <w:r>
              <w:rPr>
                <w:spacing w:val="-5"/>
                <w:sz w:val="20"/>
              </w:rPr>
              <w:t> </w:t>
            </w:r>
            <w:r>
              <w:rPr>
                <w:sz w:val="20"/>
              </w:rPr>
              <w:t>to</w:t>
            </w:r>
            <w:r>
              <w:rPr>
                <w:spacing w:val="-5"/>
                <w:sz w:val="20"/>
              </w:rPr>
              <w:t> </w:t>
            </w:r>
            <w:r>
              <w:rPr>
                <w:sz w:val="20"/>
              </w:rPr>
              <w:t>20</w:t>
            </w:r>
            <w:r>
              <w:rPr>
                <w:spacing w:val="-5"/>
                <w:sz w:val="20"/>
              </w:rPr>
              <w:t> </w:t>
            </w:r>
            <w:r>
              <w:rPr>
                <w:spacing w:val="-2"/>
                <w:sz w:val="20"/>
              </w:rPr>
              <w:t>activities</w:t>
            </w:r>
          </w:p>
        </w:tc>
        <w:tc>
          <w:tcPr>
            <w:tcW w:w="2929" w:type="dxa"/>
            <w:shd w:val="clear" w:color="auto" w:fill="EBF1F9"/>
          </w:tcPr>
          <w:p>
            <w:pPr>
              <w:pStyle w:val="TableParagraph"/>
              <w:spacing w:before="79"/>
              <w:ind w:left="4" w:right="4"/>
              <w:rPr>
                <w:sz w:val="20"/>
              </w:rPr>
            </w:pPr>
            <w:r>
              <w:rPr>
                <w:sz w:val="20"/>
              </w:rPr>
              <w:t>≤</w:t>
            </w:r>
            <w:r>
              <w:rPr>
                <w:spacing w:val="-3"/>
                <w:sz w:val="20"/>
              </w:rPr>
              <w:t> </w:t>
            </w:r>
            <w:r>
              <w:rPr>
                <w:sz w:val="20"/>
              </w:rPr>
              <w:t>3.0</w:t>
            </w:r>
            <w:r>
              <w:rPr>
                <w:spacing w:val="-2"/>
                <w:sz w:val="20"/>
              </w:rPr>
              <w:t> seconds</w:t>
            </w:r>
          </w:p>
        </w:tc>
        <w:tc>
          <w:tcPr>
            <w:tcW w:w="1364" w:type="dxa"/>
            <w:shd w:val="clear" w:color="auto" w:fill="EBF1F9"/>
          </w:tcPr>
          <w:p>
            <w:pPr>
              <w:pStyle w:val="TableParagraph"/>
              <w:spacing w:before="79"/>
              <w:rPr>
                <w:b/>
                <w:sz w:val="20"/>
              </w:rPr>
            </w:pPr>
            <w:r>
              <w:rPr>
                <w:b/>
                <w:color w:val="922B20"/>
                <w:spacing w:val="-4"/>
                <w:sz w:val="20"/>
              </w:rPr>
              <w:t>High</w:t>
            </w:r>
          </w:p>
        </w:tc>
      </w:tr>
      <w:tr>
        <w:trPr>
          <w:trHeight w:val="646" w:hRule="atLeast"/>
        </w:trPr>
        <w:tc>
          <w:tcPr>
            <w:tcW w:w="2096" w:type="dxa"/>
          </w:tcPr>
          <w:p>
            <w:pPr>
              <w:pStyle w:val="TableParagraph"/>
              <w:ind w:left="2" w:right="1"/>
              <w:rPr>
                <w:sz w:val="20"/>
              </w:rPr>
            </w:pPr>
            <w:r>
              <w:rPr>
                <w:spacing w:val="-2"/>
                <w:sz w:val="20"/>
              </w:rPr>
              <w:t>Performance</w:t>
            </w:r>
          </w:p>
        </w:tc>
        <w:tc>
          <w:tcPr>
            <w:tcW w:w="4926" w:type="dxa"/>
          </w:tcPr>
          <w:p>
            <w:pPr>
              <w:pStyle w:val="TableParagraph"/>
              <w:ind w:left="138"/>
              <w:jc w:val="left"/>
              <w:rPr>
                <w:sz w:val="20"/>
              </w:rPr>
            </w:pPr>
            <w:r>
              <w:rPr>
                <w:sz w:val="20"/>
              </w:rPr>
              <w:t>HTTP</w:t>
            </w:r>
            <w:r>
              <w:rPr>
                <w:spacing w:val="-6"/>
                <w:sz w:val="20"/>
              </w:rPr>
              <w:t> </w:t>
            </w:r>
            <w:r>
              <w:rPr>
                <w:sz w:val="20"/>
              </w:rPr>
              <w:t>response</w:t>
            </w:r>
            <w:r>
              <w:rPr>
                <w:spacing w:val="-7"/>
                <w:sz w:val="20"/>
              </w:rPr>
              <w:t> </w:t>
            </w:r>
            <w:r>
              <w:rPr>
                <w:sz w:val="20"/>
              </w:rPr>
              <w:t>time</w:t>
            </w:r>
            <w:r>
              <w:rPr>
                <w:spacing w:val="-7"/>
                <w:sz w:val="20"/>
              </w:rPr>
              <w:t> </w:t>
            </w:r>
            <w:r>
              <w:rPr>
                <w:sz w:val="20"/>
              </w:rPr>
              <w:t>under</w:t>
            </w:r>
            <w:r>
              <w:rPr>
                <w:spacing w:val="-6"/>
                <w:sz w:val="20"/>
              </w:rPr>
              <w:t> </w:t>
            </w:r>
            <w:r>
              <w:rPr>
                <w:sz w:val="20"/>
              </w:rPr>
              <w:t>concurrent</w:t>
            </w:r>
            <w:r>
              <w:rPr>
                <w:spacing w:val="-6"/>
                <w:sz w:val="20"/>
              </w:rPr>
              <w:t> </w:t>
            </w:r>
            <w:r>
              <w:rPr>
                <w:sz w:val="20"/>
              </w:rPr>
              <w:t>load</w:t>
            </w:r>
            <w:r>
              <w:rPr>
                <w:spacing w:val="-6"/>
                <w:sz w:val="20"/>
              </w:rPr>
              <w:t> </w:t>
            </w:r>
            <w:r>
              <w:rPr>
                <w:sz w:val="20"/>
              </w:rPr>
              <w:t>(100</w:t>
            </w:r>
            <w:r>
              <w:rPr>
                <w:spacing w:val="-7"/>
                <w:sz w:val="20"/>
              </w:rPr>
              <w:t> </w:t>
            </w:r>
            <w:r>
              <w:rPr>
                <w:spacing w:val="-2"/>
                <w:sz w:val="20"/>
              </w:rPr>
              <w:t>users)</w:t>
            </w:r>
          </w:p>
        </w:tc>
        <w:tc>
          <w:tcPr>
            <w:tcW w:w="2929" w:type="dxa"/>
          </w:tcPr>
          <w:p>
            <w:pPr>
              <w:pStyle w:val="TableParagraph"/>
              <w:ind w:left="4" w:right="3"/>
              <w:rPr>
                <w:sz w:val="20"/>
              </w:rPr>
            </w:pPr>
            <w:r>
              <w:rPr>
                <w:sz w:val="20"/>
              </w:rPr>
              <w:t>≤</w:t>
            </w:r>
            <w:r>
              <w:rPr>
                <w:spacing w:val="-4"/>
                <w:sz w:val="20"/>
              </w:rPr>
              <w:t> </w:t>
            </w:r>
            <w:r>
              <w:rPr>
                <w:sz w:val="20"/>
              </w:rPr>
              <w:t>500</w:t>
            </w:r>
            <w:r>
              <w:rPr>
                <w:spacing w:val="-3"/>
                <w:sz w:val="20"/>
              </w:rPr>
              <w:t> </w:t>
            </w:r>
            <w:r>
              <w:rPr>
                <w:spacing w:val="-5"/>
                <w:sz w:val="20"/>
              </w:rPr>
              <w:t>ms</w:t>
            </w:r>
          </w:p>
        </w:tc>
        <w:tc>
          <w:tcPr>
            <w:tcW w:w="1364" w:type="dxa"/>
          </w:tcPr>
          <w:p>
            <w:pPr>
              <w:pStyle w:val="TableParagraph"/>
              <w:rPr>
                <w:b/>
                <w:sz w:val="20"/>
              </w:rPr>
            </w:pPr>
            <w:r>
              <w:rPr>
                <w:b/>
                <w:color w:val="922B20"/>
                <w:spacing w:val="-4"/>
                <w:sz w:val="20"/>
              </w:rPr>
              <w:t>High</w:t>
            </w:r>
          </w:p>
        </w:tc>
      </w:tr>
      <w:tr>
        <w:trPr>
          <w:trHeight w:val="647" w:hRule="atLeast"/>
        </w:trPr>
        <w:tc>
          <w:tcPr>
            <w:tcW w:w="2096" w:type="dxa"/>
            <w:shd w:val="clear" w:color="auto" w:fill="EBF1F9"/>
          </w:tcPr>
          <w:p>
            <w:pPr>
              <w:pStyle w:val="TableParagraph"/>
              <w:ind w:left="2" w:right="1"/>
              <w:rPr>
                <w:sz w:val="20"/>
              </w:rPr>
            </w:pPr>
            <w:r>
              <w:rPr>
                <w:spacing w:val="-2"/>
                <w:sz w:val="20"/>
              </w:rPr>
              <w:t>Performance</w:t>
            </w:r>
          </w:p>
        </w:tc>
        <w:tc>
          <w:tcPr>
            <w:tcW w:w="4926" w:type="dxa"/>
            <w:shd w:val="clear" w:color="auto" w:fill="EBF1F9"/>
          </w:tcPr>
          <w:p>
            <w:pPr>
              <w:pStyle w:val="TableParagraph"/>
              <w:ind w:left="138"/>
              <w:jc w:val="left"/>
              <w:rPr>
                <w:sz w:val="20"/>
              </w:rPr>
            </w:pPr>
            <w:r>
              <w:rPr>
                <w:sz w:val="20"/>
              </w:rPr>
              <w:t>In-memory</w:t>
            </w:r>
            <w:r>
              <w:rPr>
                <w:spacing w:val="-8"/>
                <w:sz w:val="20"/>
              </w:rPr>
              <w:t> </w:t>
            </w:r>
            <w:r>
              <w:rPr>
                <w:sz w:val="20"/>
              </w:rPr>
              <w:t>retrieval</w:t>
            </w:r>
            <w:r>
              <w:rPr>
                <w:spacing w:val="-7"/>
                <w:sz w:val="20"/>
              </w:rPr>
              <w:t> </w:t>
            </w:r>
            <w:r>
              <w:rPr>
                <w:sz w:val="20"/>
              </w:rPr>
              <w:t>of</w:t>
            </w:r>
            <w:r>
              <w:rPr>
                <w:spacing w:val="-8"/>
                <w:sz w:val="20"/>
              </w:rPr>
              <w:t> </w:t>
            </w:r>
            <w:r>
              <w:rPr>
                <w:sz w:val="20"/>
              </w:rPr>
              <w:t>cached</w:t>
            </w:r>
            <w:r>
              <w:rPr>
                <w:spacing w:val="-7"/>
                <w:sz w:val="20"/>
              </w:rPr>
              <w:t> </w:t>
            </w:r>
            <w:r>
              <w:rPr>
                <w:sz w:val="20"/>
              </w:rPr>
              <w:t>session/draft</w:t>
            </w:r>
            <w:r>
              <w:rPr>
                <w:spacing w:val="-7"/>
                <w:sz w:val="20"/>
              </w:rPr>
              <w:t> </w:t>
            </w:r>
            <w:r>
              <w:rPr>
                <w:spacing w:val="-4"/>
                <w:sz w:val="20"/>
              </w:rPr>
              <w:t>data</w:t>
            </w:r>
          </w:p>
        </w:tc>
        <w:tc>
          <w:tcPr>
            <w:tcW w:w="2929" w:type="dxa"/>
            <w:shd w:val="clear" w:color="auto" w:fill="EBF1F9"/>
          </w:tcPr>
          <w:p>
            <w:pPr>
              <w:pStyle w:val="TableParagraph"/>
              <w:ind w:left="4" w:right="3"/>
              <w:rPr>
                <w:sz w:val="20"/>
              </w:rPr>
            </w:pPr>
            <w:r>
              <w:rPr>
                <w:sz w:val="20"/>
              </w:rPr>
              <w:t>&lt;</w:t>
            </w:r>
            <w:r>
              <w:rPr>
                <w:spacing w:val="-3"/>
                <w:sz w:val="20"/>
              </w:rPr>
              <w:t> </w:t>
            </w:r>
            <w:r>
              <w:rPr>
                <w:sz w:val="20"/>
              </w:rPr>
              <w:t>50</w:t>
            </w:r>
            <w:r>
              <w:rPr>
                <w:spacing w:val="-2"/>
                <w:sz w:val="20"/>
              </w:rPr>
              <w:t> </w:t>
            </w:r>
            <w:r>
              <w:rPr>
                <w:spacing w:val="-5"/>
                <w:sz w:val="20"/>
              </w:rPr>
              <w:t>ms</w:t>
            </w:r>
          </w:p>
        </w:tc>
        <w:tc>
          <w:tcPr>
            <w:tcW w:w="1364" w:type="dxa"/>
            <w:shd w:val="clear" w:color="auto" w:fill="EBF1F9"/>
          </w:tcPr>
          <w:p>
            <w:pPr>
              <w:pStyle w:val="TableParagraph"/>
              <w:rPr>
                <w:b/>
                <w:sz w:val="20"/>
              </w:rPr>
            </w:pPr>
            <w:r>
              <w:rPr>
                <w:b/>
                <w:color w:val="922B20"/>
                <w:spacing w:val="-4"/>
                <w:sz w:val="20"/>
              </w:rPr>
              <w:t>High</w:t>
            </w:r>
          </w:p>
        </w:tc>
      </w:tr>
      <w:tr>
        <w:trPr>
          <w:trHeight w:val="645" w:hRule="atLeast"/>
        </w:trPr>
        <w:tc>
          <w:tcPr>
            <w:tcW w:w="2096" w:type="dxa"/>
          </w:tcPr>
          <w:p>
            <w:pPr>
              <w:pStyle w:val="TableParagraph"/>
              <w:ind w:left="2" w:right="2"/>
              <w:rPr>
                <w:sz w:val="20"/>
              </w:rPr>
            </w:pPr>
            <w:r>
              <w:rPr>
                <w:spacing w:val="-2"/>
                <w:sz w:val="20"/>
              </w:rPr>
              <w:t>Security</w:t>
            </w:r>
          </w:p>
        </w:tc>
        <w:tc>
          <w:tcPr>
            <w:tcW w:w="4926" w:type="dxa"/>
          </w:tcPr>
          <w:p>
            <w:pPr>
              <w:pStyle w:val="TableParagraph"/>
              <w:ind w:left="138"/>
              <w:jc w:val="left"/>
              <w:rPr>
                <w:sz w:val="20"/>
              </w:rPr>
            </w:pPr>
            <w:r>
              <w:rPr>
                <w:sz w:val="20"/>
              </w:rPr>
              <w:t>Encryption</w:t>
            </w:r>
            <w:r>
              <w:rPr>
                <w:spacing w:val="-7"/>
                <w:sz w:val="20"/>
              </w:rPr>
              <w:t> </w:t>
            </w:r>
            <w:r>
              <w:rPr>
                <w:sz w:val="20"/>
              </w:rPr>
              <w:t>of</w:t>
            </w:r>
            <w:r>
              <w:rPr>
                <w:spacing w:val="-9"/>
                <w:sz w:val="20"/>
              </w:rPr>
              <w:t> </w:t>
            </w:r>
            <w:r>
              <w:rPr>
                <w:sz w:val="20"/>
              </w:rPr>
              <w:t>sensitive</w:t>
            </w:r>
            <w:r>
              <w:rPr>
                <w:spacing w:val="-7"/>
                <w:sz w:val="20"/>
              </w:rPr>
              <w:t> </w:t>
            </w:r>
            <w:r>
              <w:rPr>
                <w:sz w:val="20"/>
              </w:rPr>
              <w:t>documents</w:t>
            </w:r>
            <w:r>
              <w:rPr>
                <w:spacing w:val="-6"/>
                <w:sz w:val="20"/>
              </w:rPr>
              <w:t> </w:t>
            </w:r>
            <w:r>
              <w:rPr>
                <w:sz w:val="20"/>
              </w:rPr>
              <w:t>at</w:t>
            </w:r>
            <w:r>
              <w:rPr>
                <w:spacing w:val="-7"/>
                <w:sz w:val="20"/>
              </w:rPr>
              <w:t> </w:t>
            </w:r>
            <w:r>
              <w:rPr>
                <w:spacing w:val="-4"/>
                <w:sz w:val="20"/>
              </w:rPr>
              <w:t>rest</w:t>
            </w:r>
          </w:p>
        </w:tc>
        <w:tc>
          <w:tcPr>
            <w:tcW w:w="2929" w:type="dxa"/>
          </w:tcPr>
          <w:p>
            <w:pPr>
              <w:pStyle w:val="TableParagraph"/>
              <w:ind w:left="4" w:right="4"/>
              <w:rPr>
                <w:sz w:val="20"/>
              </w:rPr>
            </w:pPr>
            <w:r>
              <w:rPr>
                <w:sz w:val="20"/>
              </w:rPr>
              <w:t>AES-256</w:t>
            </w:r>
            <w:r>
              <w:rPr>
                <w:spacing w:val="-7"/>
                <w:sz w:val="20"/>
              </w:rPr>
              <w:t> </w:t>
            </w:r>
            <w:r>
              <w:rPr>
                <w:sz w:val="20"/>
              </w:rPr>
              <w:t>or</w:t>
            </w:r>
            <w:r>
              <w:rPr>
                <w:spacing w:val="-3"/>
                <w:sz w:val="20"/>
              </w:rPr>
              <w:t> </w:t>
            </w:r>
            <w:r>
              <w:rPr>
                <w:spacing w:val="-2"/>
                <w:sz w:val="20"/>
              </w:rPr>
              <w:t>equivalent</w:t>
            </w:r>
          </w:p>
        </w:tc>
        <w:tc>
          <w:tcPr>
            <w:tcW w:w="1364" w:type="dxa"/>
          </w:tcPr>
          <w:p>
            <w:pPr>
              <w:pStyle w:val="TableParagraph"/>
              <w:rPr>
                <w:b/>
                <w:sz w:val="20"/>
              </w:rPr>
            </w:pPr>
            <w:r>
              <w:rPr>
                <w:b/>
                <w:color w:val="922B20"/>
                <w:spacing w:val="-4"/>
                <w:sz w:val="20"/>
              </w:rPr>
              <w:t>High</w:t>
            </w:r>
          </w:p>
        </w:tc>
      </w:tr>
      <w:tr>
        <w:trPr>
          <w:trHeight w:val="645" w:hRule="atLeast"/>
        </w:trPr>
        <w:tc>
          <w:tcPr>
            <w:tcW w:w="2096" w:type="dxa"/>
            <w:shd w:val="clear" w:color="auto" w:fill="EBF1F9"/>
          </w:tcPr>
          <w:p>
            <w:pPr>
              <w:pStyle w:val="TableParagraph"/>
              <w:ind w:left="2" w:right="2"/>
              <w:rPr>
                <w:sz w:val="20"/>
              </w:rPr>
            </w:pPr>
            <w:r>
              <w:rPr>
                <w:spacing w:val="-2"/>
                <w:sz w:val="20"/>
              </w:rPr>
              <w:t>Security</w:t>
            </w:r>
          </w:p>
        </w:tc>
        <w:tc>
          <w:tcPr>
            <w:tcW w:w="4926" w:type="dxa"/>
            <w:shd w:val="clear" w:color="auto" w:fill="EBF1F9"/>
          </w:tcPr>
          <w:p>
            <w:pPr>
              <w:pStyle w:val="TableParagraph"/>
              <w:ind w:left="138"/>
              <w:jc w:val="left"/>
              <w:rPr>
                <w:sz w:val="20"/>
              </w:rPr>
            </w:pPr>
            <w:r>
              <w:rPr>
                <w:sz w:val="20"/>
              </w:rPr>
              <w:t>Token-based</w:t>
            </w:r>
            <w:r>
              <w:rPr>
                <w:spacing w:val="-9"/>
                <w:sz w:val="20"/>
              </w:rPr>
              <w:t> </w:t>
            </w:r>
            <w:r>
              <w:rPr>
                <w:sz w:val="20"/>
              </w:rPr>
              <w:t>API</w:t>
            </w:r>
            <w:r>
              <w:rPr>
                <w:spacing w:val="-9"/>
                <w:sz w:val="20"/>
              </w:rPr>
              <w:t> </w:t>
            </w:r>
            <w:r>
              <w:rPr>
                <w:sz w:val="20"/>
              </w:rPr>
              <w:t>authentication</w:t>
            </w:r>
            <w:r>
              <w:rPr>
                <w:spacing w:val="-9"/>
                <w:sz w:val="20"/>
              </w:rPr>
              <w:t> </w:t>
            </w:r>
            <w:r>
              <w:rPr>
                <w:sz w:val="20"/>
              </w:rPr>
              <w:t>with</w:t>
            </w:r>
            <w:r>
              <w:rPr>
                <w:spacing w:val="-9"/>
                <w:sz w:val="20"/>
              </w:rPr>
              <w:t> </w:t>
            </w:r>
            <w:r>
              <w:rPr>
                <w:spacing w:val="-2"/>
                <w:sz w:val="20"/>
              </w:rPr>
              <w:t>expiry</w:t>
            </w:r>
          </w:p>
        </w:tc>
        <w:tc>
          <w:tcPr>
            <w:tcW w:w="2929" w:type="dxa"/>
            <w:shd w:val="clear" w:color="auto" w:fill="EBF1F9"/>
          </w:tcPr>
          <w:p>
            <w:pPr>
              <w:pStyle w:val="TableParagraph"/>
              <w:ind w:left="4" w:right="4"/>
              <w:rPr>
                <w:sz w:val="20"/>
              </w:rPr>
            </w:pPr>
            <w:r>
              <w:rPr>
                <w:sz w:val="20"/>
              </w:rPr>
              <w:t>Access:</w:t>
            </w:r>
            <w:r>
              <w:rPr>
                <w:spacing w:val="-5"/>
                <w:sz w:val="20"/>
              </w:rPr>
              <w:t> </w:t>
            </w:r>
            <w:r>
              <w:rPr>
                <w:sz w:val="20"/>
              </w:rPr>
              <w:t>1</w:t>
            </w:r>
            <w:r>
              <w:rPr>
                <w:spacing w:val="-4"/>
                <w:sz w:val="20"/>
              </w:rPr>
              <w:t> </w:t>
            </w:r>
            <w:r>
              <w:rPr>
                <w:sz w:val="20"/>
              </w:rPr>
              <w:t>hr</w:t>
            </w:r>
            <w:r>
              <w:rPr>
                <w:spacing w:val="-3"/>
                <w:sz w:val="20"/>
              </w:rPr>
              <w:t> </w:t>
            </w:r>
            <w:r>
              <w:rPr>
                <w:sz w:val="20"/>
              </w:rPr>
              <w:t>/</w:t>
            </w:r>
            <w:r>
              <w:rPr>
                <w:spacing w:val="-4"/>
                <w:sz w:val="20"/>
              </w:rPr>
              <w:t> </w:t>
            </w:r>
            <w:r>
              <w:rPr>
                <w:sz w:val="20"/>
              </w:rPr>
              <w:t>Refresh:</w:t>
            </w:r>
            <w:r>
              <w:rPr>
                <w:spacing w:val="-5"/>
                <w:sz w:val="20"/>
              </w:rPr>
              <w:t> </w:t>
            </w:r>
            <w:r>
              <w:rPr>
                <w:sz w:val="20"/>
              </w:rPr>
              <w:t>24</w:t>
            </w:r>
            <w:r>
              <w:rPr>
                <w:spacing w:val="-4"/>
                <w:sz w:val="20"/>
              </w:rPr>
              <w:t> </w:t>
            </w:r>
            <w:r>
              <w:rPr>
                <w:spacing w:val="-5"/>
                <w:sz w:val="20"/>
              </w:rPr>
              <w:t>hr</w:t>
            </w:r>
          </w:p>
        </w:tc>
        <w:tc>
          <w:tcPr>
            <w:tcW w:w="1364" w:type="dxa"/>
            <w:shd w:val="clear" w:color="auto" w:fill="EBF1F9"/>
          </w:tcPr>
          <w:p>
            <w:pPr>
              <w:pStyle w:val="TableParagraph"/>
              <w:rPr>
                <w:b/>
                <w:sz w:val="20"/>
              </w:rPr>
            </w:pPr>
            <w:r>
              <w:rPr>
                <w:b/>
                <w:color w:val="922B20"/>
                <w:spacing w:val="-4"/>
                <w:sz w:val="20"/>
              </w:rPr>
              <w:t>High</w:t>
            </w:r>
          </w:p>
        </w:tc>
      </w:tr>
      <w:tr>
        <w:trPr>
          <w:trHeight w:val="645" w:hRule="atLeast"/>
        </w:trPr>
        <w:tc>
          <w:tcPr>
            <w:tcW w:w="2096" w:type="dxa"/>
          </w:tcPr>
          <w:p>
            <w:pPr>
              <w:pStyle w:val="TableParagraph"/>
              <w:ind w:left="2" w:right="2"/>
              <w:rPr>
                <w:sz w:val="20"/>
              </w:rPr>
            </w:pPr>
            <w:r>
              <w:rPr>
                <w:spacing w:val="-2"/>
                <w:sz w:val="20"/>
              </w:rPr>
              <w:t>Security</w:t>
            </w:r>
          </w:p>
        </w:tc>
        <w:tc>
          <w:tcPr>
            <w:tcW w:w="4926" w:type="dxa"/>
          </w:tcPr>
          <w:p>
            <w:pPr>
              <w:pStyle w:val="TableParagraph"/>
              <w:ind w:left="138"/>
              <w:jc w:val="left"/>
              <w:rPr>
                <w:sz w:val="20"/>
              </w:rPr>
            </w:pPr>
            <w:r>
              <w:rPr>
                <w:sz w:val="20"/>
              </w:rPr>
              <w:t>RBAC</w:t>
            </w:r>
            <w:r>
              <w:rPr>
                <w:spacing w:val="-7"/>
                <w:sz w:val="20"/>
              </w:rPr>
              <w:t> </w:t>
            </w:r>
            <w:r>
              <w:rPr>
                <w:sz w:val="20"/>
              </w:rPr>
              <w:t>enforcement</w:t>
            </w:r>
            <w:r>
              <w:rPr>
                <w:spacing w:val="-8"/>
                <w:sz w:val="20"/>
              </w:rPr>
              <w:t> </w:t>
            </w:r>
            <w:r>
              <w:rPr>
                <w:sz w:val="20"/>
              </w:rPr>
              <w:t>on</w:t>
            </w:r>
            <w:r>
              <w:rPr>
                <w:spacing w:val="-7"/>
                <w:sz w:val="20"/>
              </w:rPr>
              <w:t> </w:t>
            </w:r>
            <w:r>
              <w:rPr>
                <w:sz w:val="20"/>
              </w:rPr>
              <w:t>financial</w:t>
            </w:r>
            <w:r>
              <w:rPr>
                <w:spacing w:val="-8"/>
                <w:sz w:val="20"/>
              </w:rPr>
              <w:t> </w:t>
            </w:r>
            <w:r>
              <w:rPr>
                <w:sz w:val="20"/>
              </w:rPr>
              <w:t>write-</w:t>
            </w:r>
            <w:r>
              <w:rPr>
                <w:spacing w:val="-2"/>
                <w:sz w:val="20"/>
              </w:rPr>
              <w:t>access</w:t>
            </w:r>
          </w:p>
        </w:tc>
        <w:tc>
          <w:tcPr>
            <w:tcW w:w="2929" w:type="dxa"/>
          </w:tcPr>
          <w:p>
            <w:pPr>
              <w:pStyle w:val="TableParagraph"/>
              <w:ind w:left="4"/>
              <w:rPr>
                <w:sz w:val="20"/>
              </w:rPr>
            </w:pPr>
            <w:r>
              <w:rPr>
                <w:sz w:val="20"/>
              </w:rPr>
              <w:t>0</w:t>
            </w:r>
            <w:r>
              <w:rPr>
                <w:spacing w:val="-11"/>
                <w:sz w:val="20"/>
              </w:rPr>
              <w:t> </w:t>
            </w:r>
            <w:r>
              <w:rPr>
                <w:sz w:val="20"/>
              </w:rPr>
              <w:t>unauthorised</w:t>
            </w:r>
            <w:r>
              <w:rPr>
                <w:spacing w:val="-9"/>
                <w:sz w:val="20"/>
              </w:rPr>
              <w:t> </w:t>
            </w:r>
            <w:r>
              <w:rPr>
                <w:sz w:val="20"/>
              </w:rPr>
              <w:t>write-</w:t>
            </w:r>
            <w:r>
              <w:rPr>
                <w:spacing w:val="-2"/>
                <w:sz w:val="20"/>
              </w:rPr>
              <w:t>accesses</w:t>
            </w:r>
          </w:p>
        </w:tc>
        <w:tc>
          <w:tcPr>
            <w:tcW w:w="1364" w:type="dxa"/>
          </w:tcPr>
          <w:p>
            <w:pPr>
              <w:pStyle w:val="TableParagraph"/>
              <w:rPr>
                <w:b/>
                <w:sz w:val="20"/>
              </w:rPr>
            </w:pPr>
            <w:r>
              <w:rPr>
                <w:b/>
                <w:color w:val="922B20"/>
                <w:spacing w:val="-4"/>
                <w:sz w:val="20"/>
              </w:rPr>
              <w:t>High</w:t>
            </w:r>
          </w:p>
        </w:tc>
      </w:tr>
      <w:tr>
        <w:trPr>
          <w:trHeight w:val="402" w:hRule="atLeast"/>
        </w:trPr>
        <w:tc>
          <w:tcPr>
            <w:tcW w:w="2096" w:type="dxa"/>
            <w:shd w:val="clear" w:color="auto" w:fill="EBF1F9"/>
          </w:tcPr>
          <w:p>
            <w:pPr>
              <w:pStyle w:val="TableParagraph"/>
              <w:spacing w:before="79"/>
              <w:ind w:left="2" w:right="2"/>
              <w:rPr>
                <w:sz w:val="20"/>
              </w:rPr>
            </w:pPr>
            <w:r>
              <w:rPr>
                <w:spacing w:val="-2"/>
                <w:sz w:val="20"/>
              </w:rPr>
              <w:t>Security</w:t>
            </w:r>
          </w:p>
        </w:tc>
        <w:tc>
          <w:tcPr>
            <w:tcW w:w="4926" w:type="dxa"/>
            <w:shd w:val="clear" w:color="auto" w:fill="EBF1F9"/>
          </w:tcPr>
          <w:p>
            <w:pPr>
              <w:pStyle w:val="TableParagraph"/>
              <w:spacing w:before="79"/>
              <w:ind w:left="138"/>
              <w:jc w:val="left"/>
              <w:rPr>
                <w:sz w:val="20"/>
              </w:rPr>
            </w:pPr>
            <w:r>
              <w:rPr>
                <w:sz w:val="20"/>
              </w:rPr>
              <w:t>Rate</w:t>
            </w:r>
            <w:r>
              <w:rPr>
                <w:spacing w:val="-6"/>
                <w:sz w:val="20"/>
              </w:rPr>
              <w:t> </w:t>
            </w:r>
            <w:r>
              <w:rPr>
                <w:sz w:val="20"/>
              </w:rPr>
              <w:t>limiting</w:t>
            </w:r>
            <w:r>
              <w:rPr>
                <w:spacing w:val="-6"/>
                <w:sz w:val="20"/>
              </w:rPr>
              <w:t> </w:t>
            </w:r>
            <w:r>
              <w:rPr>
                <w:sz w:val="20"/>
              </w:rPr>
              <w:t>on</w:t>
            </w:r>
            <w:r>
              <w:rPr>
                <w:spacing w:val="-5"/>
                <w:sz w:val="20"/>
              </w:rPr>
              <w:t> </w:t>
            </w:r>
            <w:r>
              <w:rPr>
                <w:sz w:val="20"/>
              </w:rPr>
              <w:t>public</w:t>
            </w:r>
            <w:r>
              <w:rPr>
                <w:spacing w:val="-6"/>
                <w:sz w:val="20"/>
              </w:rPr>
              <w:t> </w:t>
            </w:r>
            <w:r>
              <w:rPr>
                <w:spacing w:val="-2"/>
                <w:sz w:val="20"/>
              </w:rPr>
              <w:t>endpoints</w:t>
            </w:r>
          </w:p>
        </w:tc>
        <w:tc>
          <w:tcPr>
            <w:tcW w:w="2929" w:type="dxa"/>
            <w:shd w:val="clear" w:color="auto" w:fill="EBF1F9"/>
          </w:tcPr>
          <w:p>
            <w:pPr>
              <w:pStyle w:val="TableParagraph"/>
              <w:spacing w:before="79"/>
              <w:ind w:left="4" w:right="4"/>
              <w:rPr>
                <w:sz w:val="20"/>
              </w:rPr>
            </w:pPr>
            <w:r>
              <w:rPr>
                <w:sz w:val="20"/>
              </w:rPr>
              <w:t>100</w:t>
            </w:r>
            <w:r>
              <w:rPr>
                <w:spacing w:val="-6"/>
                <w:sz w:val="20"/>
              </w:rPr>
              <w:t> </w:t>
            </w:r>
            <w:r>
              <w:rPr>
                <w:sz w:val="20"/>
              </w:rPr>
              <w:t>req/min</w:t>
            </w:r>
            <w:r>
              <w:rPr>
                <w:spacing w:val="-4"/>
                <w:sz w:val="20"/>
              </w:rPr>
              <w:t> </w:t>
            </w:r>
            <w:r>
              <w:rPr>
                <w:sz w:val="20"/>
              </w:rPr>
              <w:t>per</w:t>
            </w:r>
            <w:r>
              <w:rPr>
                <w:spacing w:val="-5"/>
                <w:sz w:val="20"/>
              </w:rPr>
              <w:t> </w:t>
            </w:r>
            <w:r>
              <w:rPr>
                <w:spacing w:val="-4"/>
                <w:sz w:val="20"/>
              </w:rPr>
              <w:t>user</w:t>
            </w:r>
          </w:p>
        </w:tc>
        <w:tc>
          <w:tcPr>
            <w:tcW w:w="1364" w:type="dxa"/>
            <w:shd w:val="clear" w:color="auto" w:fill="EBF1F9"/>
          </w:tcPr>
          <w:p>
            <w:pPr>
              <w:pStyle w:val="TableParagraph"/>
              <w:spacing w:before="79"/>
              <w:rPr>
                <w:b/>
                <w:sz w:val="20"/>
              </w:rPr>
            </w:pPr>
            <w:r>
              <w:rPr>
                <w:b/>
                <w:color w:val="922B20"/>
                <w:spacing w:val="-4"/>
                <w:sz w:val="20"/>
              </w:rPr>
              <w:t>High</w:t>
            </w:r>
          </w:p>
        </w:tc>
      </w:tr>
      <w:tr>
        <w:trPr>
          <w:trHeight w:val="645" w:hRule="atLeast"/>
        </w:trPr>
        <w:tc>
          <w:tcPr>
            <w:tcW w:w="2096" w:type="dxa"/>
          </w:tcPr>
          <w:p>
            <w:pPr>
              <w:pStyle w:val="TableParagraph"/>
              <w:ind w:left="2" w:right="3"/>
              <w:rPr>
                <w:sz w:val="20"/>
              </w:rPr>
            </w:pPr>
            <w:r>
              <w:rPr>
                <w:spacing w:val="-2"/>
                <w:sz w:val="20"/>
              </w:rPr>
              <w:t>Reliability</w:t>
            </w:r>
          </w:p>
        </w:tc>
        <w:tc>
          <w:tcPr>
            <w:tcW w:w="4926" w:type="dxa"/>
          </w:tcPr>
          <w:p>
            <w:pPr>
              <w:pStyle w:val="TableParagraph"/>
              <w:ind w:left="138"/>
              <w:jc w:val="left"/>
              <w:rPr>
                <w:sz w:val="20"/>
              </w:rPr>
            </w:pPr>
            <w:r>
              <w:rPr>
                <w:sz w:val="20"/>
              </w:rPr>
              <w:t>Offline</w:t>
            </w:r>
            <w:r>
              <w:rPr>
                <w:spacing w:val="-8"/>
                <w:sz w:val="20"/>
              </w:rPr>
              <w:t> </w:t>
            </w:r>
            <w:r>
              <w:rPr>
                <w:sz w:val="20"/>
              </w:rPr>
              <w:t>access</w:t>
            </w:r>
            <w:r>
              <w:rPr>
                <w:spacing w:val="-6"/>
                <w:sz w:val="20"/>
              </w:rPr>
              <w:t> </w:t>
            </w:r>
            <w:r>
              <w:rPr>
                <w:sz w:val="20"/>
              </w:rPr>
              <w:t>to</w:t>
            </w:r>
            <w:r>
              <w:rPr>
                <w:spacing w:val="-7"/>
                <w:sz w:val="20"/>
              </w:rPr>
              <w:t> </w:t>
            </w:r>
            <w:r>
              <w:rPr>
                <w:sz w:val="20"/>
              </w:rPr>
              <w:t>confirmed</w:t>
            </w:r>
            <w:r>
              <w:rPr>
                <w:spacing w:val="-6"/>
                <w:sz w:val="20"/>
              </w:rPr>
              <w:t> </w:t>
            </w:r>
            <w:r>
              <w:rPr>
                <w:spacing w:val="-2"/>
                <w:sz w:val="20"/>
              </w:rPr>
              <w:t>itineraries</w:t>
            </w:r>
          </w:p>
        </w:tc>
        <w:tc>
          <w:tcPr>
            <w:tcW w:w="2929" w:type="dxa"/>
          </w:tcPr>
          <w:p>
            <w:pPr>
              <w:pStyle w:val="TableParagraph"/>
              <w:ind w:left="4" w:right="3"/>
              <w:rPr>
                <w:sz w:val="20"/>
              </w:rPr>
            </w:pPr>
            <w:r>
              <w:rPr>
                <w:sz w:val="20"/>
              </w:rPr>
              <w:t>100%</w:t>
            </w:r>
            <w:r>
              <w:rPr>
                <w:spacing w:val="-8"/>
                <w:sz w:val="20"/>
              </w:rPr>
              <w:t> </w:t>
            </w:r>
            <w:r>
              <w:rPr>
                <w:sz w:val="20"/>
              </w:rPr>
              <w:t>availability</w:t>
            </w:r>
            <w:r>
              <w:rPr>
                <w:spacing w:val="-6"/>
                <w:sz w:val="20"/>
              </w:rPr>
              <w:t> </w:t>
            </w:r>
            <w:r>
              <w:rPr>
                <w:spacing w:val="-2"/>
                <w:sz w:val="20"/>
              </w:rPr>
              <w:t>offline</w:t>
            </w:r>
          </w:p>
        </w:tc>
        <w:tc>
          <w:tcPr>
            <w:tcW w:w="1364" w:type="dxa"/>
          </w:tcPr>
          <w:p>
            <w:pPr>
              <w:pStyle w:val="TableParagraph"/>
              <w:rPr>
                <w:b/>
                <w:sz w:val="20"/>
              </w:rPr>
            </w:pPr>
            <w:r>
              <w:rPr>
                <w:b/>
                <w:color w:val="922B20"/>
                <w:spacing w:val="-4"/>
                <w:sz w:val="20"/>
              </w:rPr>
              <w:t>High</w:t>
            </w:r>
          </w:p>
        </w:tc>
      </w:tr>
      <w:tr>
        <w:trPr>
          <w:trHeight w:val="645" w:hRule="atLeast"/>
        </w:trPr>
        <w:tc>
          <w:tcPr>
            <w:tcW w:w="2096" w:type="dxa"/>
            <w:shd w:val="clear" w:color="auto" w:fill="EBF1F9"/>
          </w:tcPr>
          <w:p>
            <w:pPr>
              <w:pStyle w:val="TableParagraph"/>
              <w:ind w:left="2" w:right="3"/>
              <w:rPr>
                <w:sz w:val="20"/>
              </w:rPr>
            </w:pPr>
            <w:r>
              <w:rPr>
                <w:spacing w:val="-2"/>
                <w:sz w:val="20"/>
              </w:rPr>
              <w:t>Reliability</w:t>
            </w:r>
          </w:p>
        </w:tc>
        <w:tc>
          <w:tcPr>
            <w:tcW w:w="4926" w:type="dxa"/>
            <w:shd w:val="clear" w:color="auto" w:fill="EBF1F9"/>
          </w:tcPr>
          <w:p>
            <w:pPr>
              <w:pStyle w:val="TableParagraph"/>
              <w:ind w:left="138"/>
              <w:jc w:val="left"/>
              <w:rPr>
                <w:sz w:val="20"/>
              </w:rPr>
            </w:pPr>
            <w:r>
              <w:rPr>
                <w:sz w:val="20"/>
              </w:rPr>
              <w:t>State</w:t>
            </w:r>
            <w:r>
              <w:rPr>
                <w:spacing w:val="-11"/>
                <w:sz w:val="20"/>
              </w:rPr>
              <w:t> </w:t>
            </w:r>
            <w:r>
              <w:rPr>
                <w:sz w:val="20"/>
              </w:rPr>
              <w:t>synchronisation</w:t>
            </w:r>
            <w:r>
              <w:rPr>
                <w:spacing w:val="-10"/>
                <w:sz w:val="20"/>
              </w:rPr>
              <w:t> </w:t>
            </w:r>
            <w:r>
              <w:rPr>
                <w:sz w:val="20"/>
              </w:rPr>
              <w:t>upon</w:t>
            </w:r>
            <w:r>
              <w:rPr>
                <w:spacing w:val="-10"/>
                <w:sz w:val="20"/>
              </w:rPr>
              <w:t> </w:t>
            </w:r>
            <w:r>
              <w:rPr>
                <w:sz w:val="20"/>
              </w:rPr>
              <w:t>connectivity</w:t>
            </w:r>
            <w:r>
              <w:rPr>
                <w:spacing w:val="-10"/>
                <w:sz w:val="20"/>
              </w:rPr>
              <w:t> </w:t>
            </w:r>
            <w:r>
              <w:rPr>
                <w:spacing w:val="-2"/>
                <w:sz w:val="20"/>
              </w:rPr>
              <w:t>restore</w:t>
            </w:r>
          </w:p>
        </w:tc>
        <w:tc>
          <w:tcPr>
            <w:tcW w:w="2929" w:type="dxa"/>
            <w:shd w:val="clear" w:color="auto" w:fill="EBF1F9"/>
          </w:tcPr>
          <w:p>
            <w:pPr>
              <w:pStyle w:val="TableParagraph"/>
              <w:ind w:left="4" w:right="2"/>
              <w:rPr>
                <w:sz w:val="20"/>
              </w:rPr>
            </w:pPr>
            <w:r>
              <w:rPr>
                <w:sz w:val="20"/>
              </w:rPr>
              <w:t>≤</w:t>
            </w:r>
            <w:r>
              <w:rPr>
                <w:spacing w:val="-4"/>
                <w:sz w:val="20"/>
              </w:rPr>
              <w:t> </w:t>
            </w:r>
            <w:r>
              <w:rPr>
                <w:sz w:val="20"/>
              </w:rPr>
              <w:t>5</w:t>
            </w:r>
            <w:r>
              <w:rPr>
                <w:spacing w:val="-1"/>
                <w:sz w:val="20"/>
              </w:rPr>
              <w:t> </w:t>
            </w:r>
            <w:r>
              <w:rPr>
                <w:spacing w:val="-2"/>
                <w:sz w:val="20"/>
              </w:rPr>
              <w:t>seconds</w:t>
            </w:r>
          </w:p>
        </w:tc>
        <w:tc>
          <w:tcPr>
            <w:tcW w:w="1364" w:type="dxa"/>
            <w:shd w:val="clear" w:color="auto" w:fill="EBF1F9"/>
          </w:tcPr>
          <w:p>
            <w:pPr>
              <w:pStyle w:val="TableParagraph"/>
              <w:rPr>
                <w:b/>
                <w:sz w:val="20"/>
              </w:rPr>
            </w:pPr>
            <w:r>
              <w:rPr>
                <w:b/>
                <w:color w:val="922B20"/>
                <w:spacing w:val="-4"/>
                <w:sz w:val="20"/>
              </w:rPr>
              <w:t>High</w:t>
            </w:r>
          </w:p>
        </w:tc>
      </w:tr>
      <w:tr>
        <w:trPr>
          <w:trHeight w:val="628" w:hRule="atLeast"/>
        </w:trPr>
        <w:tc>
          <w:tcPr>
            <w:tcW w:w="2096" w:type="dxa"/>
          </w:tcPr>
          <w:p>
            <w:pPr>
              <w:pStyle w:val="TableParagraph"/>
              <w:spacing w:before="194"/>
              <w:ind w:left="2" w:right="3"/>
              <w:rPr>
                <w:sz w:val="20"/>
              </w:rPr>
            </w:pPr>
            <w:r>
              <w:rPr>
                <w:spacing w:val="-2"/>
                <w:sz w:val="20"/>
              </w:rPr>
              <w:t>Reliability</w:t>
            </w:r>
          </w:p>
        </w:tc>
        <w:tc>
          <w:tcPr>
            <w:tcW w:w="4926" w:type="dxa"/>
          </w:tcPr>
          <w:p>
            <w:pPr>
              <w:pStyle w:val="TableParagraph"/>
              <w:spacing w:before="194"/>
              <w:ind w:left="138"/>
              <w:jc w:val="left"/>
              <w:rPr>
                <w:sz w:val="20"/>
              </w:rPr>
            </w:pPr>
            <w:r>
              <w:rPr>
                <w:sz w:val="20"/>
              </w:rPr>
              <w:t>Automated</w:t>
            </w:r>
            <w:r>
              <w:rPr>
                <w:spacing w:val="-7"/>
                <w:sz w:val="20"/>
              </w:rPr>
              <w:t> </w:t>
            </w:r>
            <w:r>
              <w:rPr>
                <w:sz w:val="20"/>
              </w:rPr>
              <w:t>daily</w:t>
            </w:r>
            <w:r>
              <w:rPr>
                <w:spacing w:val="-6"/>
                <w:sz w:val="20"/>
              </w:rPr>
              <w:t> </w:t>
            </w:r>
            <w:r>
              <w:rPr>
                <w:sz w:val="20"/>
              </w:rPr>
              <w:t>data</w:t>
            </w:r>
            <w:r>
              <w:rPr>
                <w:spacing w:val="-6"/>
                <w:sz w:val="20"/>
              </w:rPr>
              <w:t> </w:t>
            </w:r>
            <w:r>
              <w:rPr>
                <w:sz w:val="20"/>
              </w:rPr>
              <w:t>backup</w:t>
            </w:r>
            <w:r>
              <w:rPr>
                <w:spacing w:val="-8"/>
                <w:sz w:val="20"/>
              </w:rPr>
              <w:t> </w:t>
            </w:r>
            <w:r>
              <w:rPr>
                <w:sz w:val="20"/>
              </w:rPr>
              <w:t>with</w:t>
            </w:r>
            <w:r>
              <w:rPr>
                <w:spacing w:val="-7"/>
                <w:sz w:val="20"/>
              </w:rPr>
              <w:t> </w:t>
            </w:r>
            <w:r>
              <w:rPr>
                <w:spacing w:val="-2"/>
                <w:sz w:val="20"/>
              </w:rPr>
              <w:t>retention</w:t>
            </w:r>
          </w:p>
        </w:tc>
        <w:tc>
          <w:tcPr>
            <w:tcW w:w="2929" w:type="dxa"/>
          </w:tcPr>
          <w:p>
            <w:pPr>
              <w:pStyle w:val="TableParagraph"/>
              <w:spacing w:before="194"/>
              <w:ind w:left="4" w:right="4"/>
              <w:rPr>
                <w:sz w:val="20"/>
              </w:rPr>
            </w:pPr>
            <w:r>
              <w:rPr>
                <w:sz w:val="20"/>
              </w:rPr>
              <w:t>7-day</w:t>
            </w:r>
            <w:r>
              <w:rPr>
                <w:spacing w:val="-6"/>
                <w:sz w:val="20"/>
              </w:rPr>
              <w:t> </w:t>
            </w:r>
            <w:r>
              <w:rPr>
                <w:spacing w:val="-2"/>
                <w:sz w:val="20"/>
              </w:rPr>
              <w:t>retention</w:t>
            </w:r>
          </w:p>
        </w:tc>
        <w:tc>
          <w:tcPr>
            <w:tcW w:w="1364" w:type="dxa"/>
          </w:tcPr>
          <w:p>
            <w:pPr>
              <w:pStyle w:val="TableParagraph"/>
              <w:spacing w:before="194"/>
              <w:ind w:right="1"/>
              <w:rPr>
                <w:b/>
                <w:sz w:val="20"/>
              </w:rPr>
            </w:pPr>
            <w:r>
              <w:rPr>
                <w:b/>
                <w:color w:val="784212"/>
                <w:spacing w:val="-2"/>
                <w:sz w:val="20"/>
              </w:rPr>
              <w:t>Medium</w:t>
            </w:r>
          </w:p>
        </w:tc>
      </w:tr>
      <w:tr>
        <w:trPr>
          <w:trHeight w:val="647" w:hRule="atLeast"/>
        </w:trPr>
        <w:tc>
          <w:tcPr>
            <w:tcW w:w="2096" w:type="dxa"/>
            <w:shd w:val="clear" w:color="auto" w:fill="EBF1F9"/>
          </w:tcPr>
          <w:p>
            <w:pPr>
              <w:pStyle w:val="TableParagraph"/>
              <w:ind w:right="1"/>
              <w:rPr>
                <w:sz w:val="20"/>
              </w:rPr>
            </w:pPr>
            <w:r>
              <w:rPr>
                <w:spacing w:val="-2"/>
                <w:sz w:val="20"/>
              </w:rPr>
              <w:t>Usability</w:t>
            </w:r>
          </w:p>
        </w:tc>
        <w:tc>
          <w:tcPr>
            <w:tcW w:w="4926" w:type="dxa"/>
            <w:shd w:val="clear" w:color="auto" w:fill="EBF1F9"/>
          </w:tcPr>
          <w:p>
            <w:pPr>
              <w:pStyle w:val="TableParagraph"/>
              <w:ind w:left="138"/>
              <w:jc w:val="left"/>
              <w:rPr>
                <w:sz w:val="20"/>
              </w:rPr>
            </w:pPr>
            <w:r>
              <w:rPr>
                <w:sz w:val="20"/>
              </w:rPr>
              <w:t>Task</w:t>
            </w:r>
            <w:r>
              <w:rPr>
                <w:spacing w:val="-11"/>
                <w:sz w:val="20"/>
              </w:rPr>
              <w:t> </w:t>
            </w:r>
            <w:r>
              <w:rPr>
                <w:sz w:val="20"/>
              </w:rPr>
              <w:t>completion</w:t>
            </w:r>
            <w:r>
              <w:rPr>
                <w:spacing w:val="-10"/>
                <w:sz w:val="20"/>
              </w:rPr>
              <w:t> </w:t>
            </w:r>
            <w:r>
              <w:rPr>
                <w:sz w:val="20"/>
              </w:rPr>
              <w:t>within</w:t>
            </w:r>
            <w:r>
              <w:rPr>
                <w:spacing w:val="-11"/>
                <w:sz w:val="20"/>
              </w:rPr>
              <w:t> </w:t>
            </w:r>
            <w:r>
              <w:rPr>
                <w:sz w:val="20"/>
              </w:rPr>
              <w:t>minimal</w:t>
            </w:r>
            <w:r>
              <w:rPr>
                <w:spacing w:val="-10"/>
                <w:sz w:val="20"/>
              </w:rPr>
              <w:t> </w:t>
            </w:r>
            <w:r>
              <w:rPr>
                <w:sz w:val="20"/>
              </w:rPr>
              <w:t>interaction</w:t>
            </w:r>
            <w:r>
              <w:rPr>
                <w:spacing w:val="-11"/>
                <w:sz w:val="20"/>
              </w:rPr>
              <w:t> </w:t>
            </w:r>
            <w:r>
              <w:rPr>
                <w:spacing w:val="-4"/>
                <w:sz w:val="20"/>
              </w:rPr>
              <w:t>steps</w:t>
            </w:r>
          </w:p>
        </w:tc>
        <w:tc>
          <w:tcPr>
            <w:tcW w:w="2929" w:type="dxa"/>
            <w:shd w:val="clear" w:color="auto" w:fill="EBF1F9"/>
          </w:tcPr>
          <w:p>
            <w:pPr>
              <w:pStyle w:val="TableParagraph"/>
              <w:ind w:left="4" w:right="2"/>
              <w:rPr>
                <w:sz w:val="20"/>
              </w:rPr>
            </w:pPr>
            <w:r>
              <w:rPr>
                <w:sz w:val="20"/>
              </w:rPr>
              <w:t>3–5</w:t>
            </w:r>
            <w:r>
              <w:rPr>
                <w:spacing w:val="-7"/>
                <w:sz w:val="20"/>
              </w:rPr>
              <w:t> </w:t>
            </w:r>
            <w:r>
              <w:rPr>
                <w:spacing w:val="-2"/>
                <w:sz w:val="20"/>
              </w:rPr>
              <w:t>clicks/taps</w:t>
            </w:r>
          </w:p>
        </w:tc>
        <w:tc>
          <w:tcPr>
            <w:tcW w:w="1364" w:type="dxa"/>
            <w:shd w:val="clear" w:color="auto" w:fill="EBF1F9"/>
          </w:tcPr>
          <w:p>
            <w:pPr>
              <w:pStyle w:val="TableParagraph"/>
              <w:ind w:right="1"/>
              <w:rPr>
                <w:b/>
                <w:sz w:val="20"/>
              </w:rPr>
            </w:pPr>
            <w:r>
              <w:rPr>
                <w:b/>
                <w:color w:val="784212"/>
                <w:spacing w:val="-2"/>
                <w:sz w:val="20"/>
              </w:rPr>
              <w:t>Medium</w:t>
            </w:r>
          </w:p>
        </w:tc>
      </w:tr>
      <w:tr>
        <w:trPr>
          <w:trHeight w:val="645" w:hRule="atLeast"/>
        </w:trPr>
        <w:tc>
          <w:tcPr>
            <w:tcW w:w="2096" w:type="dxa"/>
          </w:tcPr>
          <w:p>
            <w:pPr>
              <w:pStyle w:val="TableParagraph"/>
              <w:ind w:right="1"/>
              <w:rPr>
                <w:sz w:val="20"/>
              </w:rPr>
            </w:pPr>
            <w:r>
              <w:rPr>
                <w:spacing w:val="-2"/>
                <w:sz w:val="20"/>
              </w:rPr>
              <w:t>Usability</w:t>
            </w:r>
          </w:p>
        </w:tc>
        <w:tc>
          <w:tcPr>
            <w:tcW w:w="4926" w:type="dxa"/>
          </w:tcPr>
          <w:p>
            <w:pPr>
              <w:pStyle w:val="TableParagraph"/>
              <w:ind w:left="138"/>
              <w:jc w:val="left"/>
              <w:rPr>
                <w:sz w:val="20"/>
              </w:rPr>
            </w:pPr>
            <w:r>
              <w:rPr>
                <w:sz w:val="20"/>
              </w:rPr>
              <w:t>Graceful</w:t>
            </w:r>
            <w:r>
              <w:rPr>
                <w:spacing w:val="-6"/>
                <w:sz w:val="20"/>
              </w:rPr>
              <w:t> </w:t>
            </w:r>
            <w:r>
              <w:rPr>
                <w:sz w:val="20"/>
              </w:rPr>
              <w:t>error</w:t>
            </w:r>
            <w:r>
              <w:rPr>
                <w:spacing w:val="-4"/>
                <w:sz w:val="20"/>
              </w:rPr>
              <w:t> </w:t>
            </w:r>
            <w:r>
              <w:rPr>
                <w:sz w:val="20"/>
              </w:rPr>
              <w:t>handling</w:t>
            </w:r>
            <w:r>
              <w:rPr>
                <w:spacing w:val="-2"/>
                <w:sz w:val="20"/>
              </w:rPr>
              <w:t> </w:t>
            </w:r>
            <w:r>
              <w:rPr>
                <w:sz w:val="20"/>
              </w:rPr>
              <w:t>—</w:t>
            </w:r>
            <w:r>
              <w:rPr>
                <w:spacing w:val="-4"/>
                <w:sz w:val="20"/>
              </w:rPr>
              <w:t> </w:t>
            </w:r>
            <w:r>
              <w:rPr>
                <w:sz w:val="20"/>
              </w:rPr>
              <w:t>no</w:t>
            </w:r>
            <w:r>
              <w:rPr>
                <w:spacing w:val="-5"/>
                <w:sz w:val="20"/>
              </w:rPr>
              <w:t> </w:t>
            </w:r>
            <w:r>
              <w:rPr>
                <w:sz w:val="20"/>
              </w:rPr>
              <w:t>stack</w:t>
            </w:r>
            <w:r>
              <w:rPr>
                <w:spacing w:val="-4"/>
                <w:sz w:val="20"/>
              </w:rPr>
              <w:t> </w:t>
            </w:r>
            <w:r>
              <w:rPr>
                <w:sz w:val="20"/>
              </w:rPr>
              <w:t>trace</w:t>
            </w:r>
            <w:r>
              <w:rPr>
                <w:spacing w:val="-6"/>
                <w:sz w:val="20"/>
              </w:rPr>
              <w:t> </w:t>
            </w:r>
            <w:r>
              <w:rPr>
                <w:spacing w:val="-2"/>
                <w:sz w:val="20"/>
              </w:rPr>
              <w:t>exposure</w:t>
            </w:r>
          </w:p>
        </w:tc>
        <w:tc>
          <w:tcPr>
            <w:tcW w:w="2929" w:type="dxa"/>
          </w:tcPr>
          <w:p>
            <w:pPr>
              <w:pStyle w:val="TableParagraph"/>
              <w:ind w:left="4" w:right="2"/>
              <w:rPr>
                <w:sz w:val="20"/>
              </w:rPr>
            </w:pPr>
            <w:r>
              <w:rPr>
                <w:sz w:val="20"/>
              </w:rPr>
              <w:t>0</w:t>
            </w:r>
            <w:r>
              <w:rPr>
                <w:spacing w:val="-6"/>
                <w:sz w:val="20"/>
              </w:rPr>
              <w:t> </w:t>
            </w:r>
            <w:r>
              <w:rPr>
                <w:sz w:val="20"/>
              </w:rPr>
              <w:t>stack-trace</w:t>
            </w:r>
            <w:r>
              <w:rPr>
                <w:spacing w:val="-6"/>
                <w:sz w:val="20"/>
              </w:rPr>
              <w:t> </w:t>
            </w:r>
            <w:r>
              <w:rPr>
                <w:spacing w:val="-2"/>
                <w:sz w:val="20"/>
              </w:rPr>
              <w:t>exposures</w:t>
            </w:r>
          </w:p>
        </w:tc>
        <w:tc>
          <w:tcPr>
            <w:tcW w:w="1364" w:type="dxa"/>
          </w:tcPr>
          <w:p>
            <w:pPr>
              <w:pStyle w:val="TableParagraph"/>
              <w:rPr>
                <w:b/>
                <w:sz w:val="20"/>
              </w:rPr>
            </w:pPr>
            <w:r>
              <w:rPr>
                <w:b/>
                <w:color w:val="922B20"/>
                <w:spacing w:val="-4"/>
                <w:sz w:val="20"/>
              </w:rPr>
              <w:t>High</w:t>
            </w:r>
          </w:p>
        </w:tc>
      </w:tr>
      <w:tr>
        <w:trPr>
          <w:trHeight w:val="645" w:hRule="atLeast"/>
        </w:trPr>
        <w:tc>
          <w:tcPr>
            <w:tcW w:w="2096" w:type="dxa"/>
            <w:shd w:val="clear" w:color="auto" w:fill="EBF1F9"/>
          </w:tcPr>
          <w:p>
            <w:pPr>
              <w:pStyle w:val="TableParagraph"/>
              <w:ind w:left="2" w:right="1"/>
              <w:rPr>
                <w:sz w:val="20"/>
              </w:rPr>
            </w:pPr>
            <w:r>
              <w:rPr>
                <w:spacing w:val="-2"/>
                <w:sz w:val="20"/>
              </w:rPr>
              <w:t>Scalability</w:t>
            </w:r>
          </w:p>
        </w:tc>
        <w:tc>
          <w:tcPr>
            <w:tcW w:w="4926" w:type="dxa"/>
            <w:shd w:val="clear" w:color="auto" w:fill="EBF1F9"/>
          </w:tcPr>
          <w:p>
            <w:pPr>
              <w:pStyle w:val="TableParagraph"/>
              <w:ind w:left="138"/>
              <w:jc w:val="left"/>
              <w:rPr>
                <w:sz w:val="20"/>
              </w:rPr>
            </w:pPr>
            <w:r>
              <w:rPr>
                <w:sz w:val="20"/>
              </w:rPr>
              <w:t>Logical</w:t>
            </w:r>
            <w:r>
              <w:rPr>
                <w:spacing w:val="-7"/>
                <w:sz w:val="20"/>
              </w:rPr>
              <w:t> </w:t>
            </w:r>
            <w:r>
              <w:rPr>
                <w:sz w:val="20"/>
              </w:rPr>
              <w:t>separation</w:t>
            </w:r>
            <w:r>
              <w:rPr>
                <w:spacing w:val="-6"/>
                <w:sz w:val="20"/>
              </w:rPr>
              <w:t> </w:t>
            </w:r>
            <w:r>
              <w:rPr>
                <w:sz w:val="20"/>
              </w:rPr>
              <w:t>of</w:t>
            </w:r>
            <w:r>
              <w:rPr>
                <w:spacing w:val="-8"/>
                <w:sz w:val="20"/>
              </w:rPr>
              <w:t> </w:t>
            </w:r>
            <w:r>
              <w:rPr>
                <w:sz w:val="20"/>
              </w:rPr>
              <w:t>core</w:t>
            </w:r>
            <w:r>
              <w:rPr>
                <w:spacing w:val="-7"/>
                <w:sz w:val="20"/>
              </w:rPr>
              <w:t> </w:t>
            </w:r>
            <w:r>
              <w:rPr>
                <w:sz w:val="20"/>
              </w:rPr>
              <w:t>business</w:t>
            </w:r>
            <w:r>
              <w:rPr>
                <w:spacing w:val="-6"/>
                <w:sz w:val="20"/>
              </w:rPr>
              <w:t> </w:t>
            </w:r>
            <w:r>
              <w:rPr>
                <w:spacing w:val="-2"/>
                <w:sz w:val="20"/>
              </w:rPr>
              <w:t>domains</w:t>
            </w:r>
          </w:p>
        </w:tc>
        <w:tc>
          <w:tcPr>
            <w:tcW w:w="2929" w:type="dxa"/>
            <w:shd w:val="clear" w:color="auto" w:fill="EBF1F9"/>
          </w:tcPr>
          <w:p>
            <w:pPr>
              <w:pStyle w:val="TableParagraph"/>
              <w:ind w:left="4" w:right="3"/>
              <w:rPr>
                <w:sz w:val="20"/>
              </w:rPr>
            </w:pPr>
            <w:r>
              <w:rPr>
                <w:sz w:val="20"/>
              </w:rPr>
              <w:t>Modular</w:t>
            </w:r>
            <w:r>
              <w:rPr>
                <w:spacing w:val="-9"/>
                <w:sz w:val="20"/>
              </w:rPr>
              <w:t> </w:t>
            </w:r>
            <w:r>
              <w:rPr>
                <w:sz w:val="20"/>
              </w:rPr>
              <w:t>boundary</w:t>
            </w:r>
            <w:r>
              <w:rPr>
                <w:spacing w:val="-9"/>
                <w:sz w:val="20"/>
              </w:rPr>
              <w:t> </w:t>
            </w:r>
            <w:r>
              <w:rPr>
                <w:spacing w:val="-2"/>
                <w:sz w:val="20"/>
              </w:rPr>
              <w:t>enforcement</w:t>
            </w:r>
          </w:p>
        </w:tc>
        <w:tc>
          <w:tcPr>
            <w:tcW w:w="1364" w:type="dxa"/>
            <w:shd w:val="clear" w:color="auto" w:fill="EBF1F9"/>
          </w:tcPr>
          <w:p>
            <w:pPr>
              <w:pStyle w:val="TableParagraph"/>
              <w:ind w:right="1"/>
              <w:rPr>
                <w:b/>
                <w:sz w:val="20"/>
              </w:rPr>
            </w:pPr>
            <w:r>
              <w:rPr>
                <w:b/>
                <w:color w:val="784212"/>
                <w:spacing w:val="-2"/>
                <w:sz w:val="20"/>
              </w:rPr>
              <w:t>Medium</w:t>
            </w:r>
          </w:p>
        </w:tc>
      </w:tr>
      <w:tr>
        <w:trPr>
          <w:trHeight w:val="645" w:hRule="atLeast"/>
        </w:trPr>
        <w:tc>
          <w:tcPr>
            <w:tcW w:w="2096" w:type="dxa"/>
          </w:tcPr>
          <w:p>
            <w:pPr>
              <w:pStyle w:val="TableParagraph"/>
              <w:ind w:left="2" w:right="1"/>
              <w:rPr>
                <w:sz w:val="20"/>
              </w:rPr>
            </w:pPr>
            <w:r>
              <w:rPr>
                <w:spacing w:val="-2"/>
                <w:sz w:val="20"/>
              </w:rPr>
              <w:t>Scalability</w:t>
            </w:r>
          </w:p>
        </w:tc>
        <w:tc>
          <w:tcPr>
            <w:tcW w:w="4926" w:type="dxa"/>
          </w:tcPr>
          <w:p>
            <w:pPr>
              <w:pStyle w:val="TableParagraph"/>
              <w:ind w:left="138"/>
              <w:jc w:val="left"/>
              <w:rPr>
                <w:sz w:val="20"/>
              </w:rPr>
            </w:pPr>
            <w:r>
              <w:rPr>
                <w:sz w:val="20"/>
              </w:rPr>
              <w:t>Asynchronous</w:t>
            </w:r>
            <w:r>
              <w:rPr>
                <w:spacing w:val="-9"/>
                <w:sz w:val="20"/>
              </w:rPr>
              <w:t> </w:t>
            </w:r>
            <w:r>
              <w:rPr>
                <w:sz w:val="20"/>
              </w:rPr>
              <w:t>execution</w:t>
            </w:r>
            <w:r>
              <w:rPr>
                <w:spacing w:val="-9"/>
                <w:sz w:val="20"/>
              </w:rPr>
              <w:t> </w:t>
            </w:r>
            <w:r>
              <w:rPr>
                <w:sz w:val="20"/>
              </w:rPr>
              <w:t>of</w:t>
            </w:r>
            <w:r>
              <w:rPr>
                <w:spacing w:val="-11"/>
                <w:sz w:val="20"/>
              </w:rPr>
              <w:t> </w:t>
            </w:r>
            <w:r>
              <w:rPr>
                <w:sz w:val="20"/>
              </w:rPr>
              <w:t>non-critical</w:t>
            </w:r>
            <w:r>
              <w:rPr>
                <w:spacing w:val="-10"/>
                <w:sz w:val="20"/>
              </w:rPr>
              <w:t> </w:t>
            </w:r>
            <w:r>
              <w:rPr>
                <w:spacing w:val="-2"/>
                <w:sz w:val="20"/>
              </w:rPr>
              <w:t>operations</w:t>
            </w:r>
          </w:p>
        </w:tc>
        <w:tc>
          <w:tcPr>
            <w:tcW w:w="2929" w:type="dxa"/>
          </w:tcPr>
          <w:p>
            <w:pPr>
              <w:pStyle w:val="TableParagraph"/>
              <w:ind w:left="4" w:right="4"/>
              <w:rPr>
                <w:sz w:val="20"/>
              </w:rPr>
            </w:pPr>
            <w:r>
              <w:rPr>
                <w:sz w:val="20"/>
              </w:rPr>
              <w:t>Non-blocking</w:t>
            </w:r>
            <w:r>
              <w:rPr>
                <w:spacing w:val="-11"/>
                <w:sz w:val="20"/>
              </w:rPr>
              <w:t> </w:t>
            </w:r>
            <w:r>
              <w:rPr>
                <w:sz w:val="20"/>
              </w:rPr>
              <w:t>main</w:t>
            </w:r>
            <w:r>
              <w:rPr>
                <w:spacing w:val="-9"/>
                <w:sz w:val="20"/>
              </w:rPr>
              <w:t> </w:t>
            </w:r>
            <w:r>
              <w:rPr>
                <w:spacing w:val="-2"/>
                <w:sz w:val="20"/>
              </w:rPr>
              <w:t>thread</w:t>
            </w:r>
          </w:p>
        </w:tc>
        <w:tc>
          <w:tcPr>
            <w:tcW w:w="1364" w:type="dxa"/>
          </w:tcPr>
          <w:p>
            <w:pPr>
              <w:pStyle w:val="TableParagraph"/>
              <w:ind w:right="1"/>
              <w:rPr>
                <w:b/>
                <w:sz w:val="20"/>
              </w:rPr>
            </w:pPr>
            <w:r>
              <w:rPr>
                <w:b/>
                <w:color w:val="784212"/>
                <w:spacing w:val="-2"/>
                <w:sz w:val="20"/>
              </w:rPr>
              <w:t>Medium</w:t>
            </w:r>
          </w:p>
        </w:tc>
      </w:tr>
      <w:tr>
        <w:trPr>
          <w:trHeight w:val="645" w:hRule="atLeast"/>
        </w:trPr>
        <w:tc>
          <w:tcPr>
            <w:tcW w:w="2096" w:type="dxa"/>
            <w:shd w:val="clear" w:color="auto" w:fill="EBF1F9"/>
          </w:tcPr>
          <w:p>
            <w:pPr>
              <w:pStyle w:val="TableParagraph"/>
              <w:ind w:left="2" w:right="3"/>
              <w:rPr>
                <w:sz w:val="20"/>
              </w:rPr>
            </w:pPr>
            <w:r>
              <w:rPr>
                <w:spacing w:val="-2"/>
                <w:sz w:val="20"/>
              </w:rPr>
              <w:t>Maintainability</w:t>
            </w:r>
          </w:p>
        </w:tc>
        <w:tc>
          <w:tcPr>
            <w:tcW w:w="4926" w:type="dxa"/>
            <w:shd w:val="clear" w:color="auto" w:fill="EBF1F9"/>
          </w:tcPr>
          <w:p>
            <w:pPr>
              <w:pStyle w:val="TableParagraph"/>
              <w:ind w:left="138"/>
              <w:jc w:val="left"/>
              <w:rPr>
                <w:sz w:val="20"/>
              </w:rPr>
            </w:pPr>
            <w:r>
              <w:rPr>
                <w:sz w:val="20"/>
              </w:rPr>
              <w:t>Audit</w:t>
            </w:r>
            <w:r>
              <w:rPr>
                <w:spacing w:val="-7"/>
                <w:sz w:val="20"/>
              </w:rPr>
              <w:t> </w:t>
            </w:r>
            <w:r>
              <w:rPr>
                <w:sz w:val="20"/>
              </w:rPr>
              <w:t>logging</w:t>
            </w:r>
            <w:r>
              <w:rPr>
                <w:spacing w:val="-7"/>
                <w:sz w:val="20"/>
              </w:rPr>
              <w:t> </w:t>
            </w:r>
            <w:r>
              <w:rPr>
                <w:sz w:val="20"/>
              </w:rPr>
              <w:t>of</w:t>
            </w:r>
            <w:r>
              <w:rPr>
                <w:spacing w:val="-8"/>
                <w:sz w:val="20"/>
              </w:rPr>
              <w:t> </w:t>
            </w:r>
            <w:r>
              <w:rPr>
                <w:sz w:val="20"/>
              </w:rPr>
              <w:t>critical</w:t>
            </w:r>
            <w:r>
              <w:rPr>
                <w:spacing w:val="-7"/>
                <w:sz w:val="20"/>
              </w:rPr>
              <w:t> </w:t>
            </w:r>
            <w:r>
              <w:rPr>
                <w:sz w:val="20"/>
              </w:rPr>
              <w:t>state-changing</w:t>
            </w:r>
            <w:r>
              <w:rPr>
                <w:spacing w:val="-7"/>
                <w:sz w:val="20"/>
              </w:rPr>
              <w:t> </w:t>
            </w:r>
            <w:r>
              <w:rPr>
                <w:spacing w:val="-2"/>
                <w:sz w:val="20"/>
              </w:rPr>
              <w:t>operations</w:t>
            </w:r>
          </w:p>
        </w:tc>
        <w:tc>
          <w:tcPr>
            <w:tcW w:w="2929" w:type="dxa"/>
            <w:shd w:val="clear" w:color="auto" w:fill="EBF1F9"/>
          </w:tcPr>
          <w:p>
            <w:pPr>
              <w:pStyle w:val="TableParagraph"/>
              <w:ind w:left="4" w:right="4"/>
              <w:rPr>
                <w:sz w:val="20"/>
              </w:rPr>
            </w:pPr>
            <w:r>
              <w:rPr>
                <w:sz w:val="20"/>
              </w:rPr>
              <w:t>100%</w:t>
            </w:r>
            <w:r>
              <w:rPr>
                <w:spacing w:val="-6"/>
                <w:sz w:val="20"/>
              </w:rPr>
              <w:t> </w:t>
            </w:r>
            <w:r>
              <w:rPr>
                <w:sz w:val="20"/>
              </w:rPr>
              <w:t>critical</w:t>
            </w:r>
            <w:r>
              <w:rPr>
                <w:spacing w:val="-4"/>
                <w:sz w:val="20"/>
              </w:rPr>
              <w:t> </w:t>
            </w:r>
            <w:r>
              <w:rPr>
                <w:sz w:val="20"/>
              </w:rPr>
              <w:t>ops</w:t>
            </w:r>
            <w:r>
              <w:rPr>
                <w:spacing w:val="-3"/>
                <w:sz w:val="20"/>
              </w:rPr>
              <w:t> </w:t>
            </w:r>
            <w:r>
              <w:rPr>
                <w:spacing w:val="-2"/>
                <w:sz w:val="20"/>
              </w:rPr>
              <w:t>logged</w:t>
            </w:r>
          </w:p>
        </w:tc>
        <w:tc>
          <w:tcPr>
            <w:tcW w:w="1364" w:type="dxa"/>
            <w:shd w:val="clear" w:color="auto" w:fill="EBF1F9"/>
          </w:tcPr>
          <w:p>
            <w:pPr>
              <w:pStyle w:val="TableParagraph"/>
              <w:ind w:right="1"/>
              <w:rPr>
                <w:b/>
                <w:sz w:val="20"/>
              </w:rPr>
            </w:pPr>
            <w:r>
              <w:rPr>
                <w:b/>
                <w:color w:val="784212"/>
                <w:spacing w:val="-2"/>
                <w:sz w:val="20"/>
              </w:rPr>
              <w:t>Medium</w:t>
            </w:r>
          </w:p>
        </w:tc>
      </w:tr>
    </w:tbl>
    <w:p>
      <w:pPr>
        <w:pStyle w:val="BodyText"/>
        <w:spacing w:before="18"/>
        <w:ind w:left="0"/>
        <w:jc w:val="left"/>
        <w:rPr>
          <w:sz w:val="22"/>
        </w:rPr>
      </w:pPr>
    </w:p>
    <w:p>
      <w:pPr>
        <w:pStyle w:val="Heading2"/>
        <w:numPr>
          <w:ilvl w:val="1"/>
          <w:numId w:val="1"/>
        </w:numPr>
        <w:tabs>
          <w:tab w:pos="790" w:val="left" w:leader="none"/>
        </w:tabs>
        <w:spacing w:line="240" w:lineRule="auto" w:before="0" w:after="0"/>
        <w:ind w:left="790" w:right="0" w:hanging="480"/>
        <w:jc w:val="left"/>
        <w:rPr>
          <w:color w:val="ED0000"/>
        </w:rPr>
      </w:pPr>
      <w:r>
        <w:rPr>
          <w:color w:val="ED0000"/>
        </w:rPr>
        <w:t>Performance</w:t>
      </w:r>
      <w:r>
        <w:rPr>
          <w:color w:val="ED0000"/>
          <w:spacing w:val="-5"/>
        </w:rPr>
        <w:t> </w:t>
      </w:r>
      <w:r>
        <w:rPr>
          <w:color w:val="ED0000"/>
        </w:rPr>
        <w:t>&amp;</w:t>
      </w:r>
      <w:r>
        <w:rPr>
          <w:color w:val="ED0000"/>
          <w:spacing w:val="-6"/>
        </w:rPr>
        <w:t> </w:t>
      </w:r>
      <w:r>
        <w:rPr>
          <w:color w:val="ED0000"/>
          <w:spacing w:val="-2"/>
        </w:rPr>
        <w:t>Efficiency</w:t>
      </w:r>
    </w:p>
    <w:p>
      <w:pPr>
        <w:spacing w:before="159"/>
        <w:ind w:left="310" w:right="0" w:firstLine="0"/>
        <w:jc w:val="left"/>
        <w:rPr>
          <w:sz w:val="22"/>
        </w:rPr>
      </w:pPr>
      <w:r>
        <w:rPr>
          <w:sz w:val="22"/>
        </w:rPr>
        <w:t>The following requirements define the minimum acceptable performance characteristics of the system under normal and peak operating conditions.</w:t>
      </w:r>
    </w:p>
    <w:p>
      <w:pPr>
        <w:pStyle w:val="BodyText"/>
        <w:spacing w:before="121"/>
        <w:jc w:val="left"/>
      </w:pPr>
      <w:r>
        <w:rPr>
          <w:b/>
          <w:color w:val="2D5FA2"/>
        </w:rPr>
        <w:t>NFR-PER-01:</w:t>
      </w:r>
      <w:r>
        <w:rPr>
          <w:b/>
          <w:color w:val="2D5FA2"/>
          <w:spacing w:val="40"/>
        </w:rPr>
        <w:t> </w:t>
      </w:r>
      <w:r>
        <w:rPr/>
        <w:t>The</w:t>
      </w:r>
      <w:r>
        <w:rPr>
          <w:spacing w:val="-6"/>
        </w:rPr>
        <w:t> </w:t>
      </w:r>
      <w:r>
        <w:rPr/>
        <w:t>system</w:t>
      </w:r>
      <w:r>
        <w:rPr>
          <w:spacing w:val="-8"/>
        </w:rPr>
        <w:t> </w:t>
      </w:r>
      <w:r>
        <w:rPr/>
        <w:t>shall</w:t>
      </w:r>
      <w:r>
        <w:rPr>
          <w:spacing w:val="-7"/>
        </w:rPr>
        <w:t> </w:t>
      </w:r>
      <w:r>
        <w:rPr/>
        <w:t>calculate</w:t>
      </w:r>
      <w:r>
        <w:rPr>
          <w:spacing w:val="-6"/>
        </w:rPr>
        <w:t> </w:t>
      </w:r>
      <w:r>
        <w:rPr/>
        <w:t>and</w:t>
      </w:r>
      <w:r>
        <w:rPr>
          <w:spacing w:val="-5"/>
        </w:rPr>
        <w:t> </w:t>
      </w:r>
      <w:r>
        <w:rPr/>
        <w:t>render</w:t>
      </w:r>
      <w:r>
        <w:rPr>
          <w:spacing w:val="-7"/>
        </w:rPr>
        <w:t> </w:t>
      </w:r>
      <w:r>
        <w:rPr/>
        <w:t>a</w:t>
      </w:r>
      <w:r>
        <w:rPr>
          <w:spacing w:val="-6"/>
        </w:rPr>
        <w:t> </w:t>
      </w:r>
      <w:r>
        <w:rPr/>
        <w:t>fully</w:t>
      </w:r>
      <w:r>
        <w:rPr>
          <w:spacing w:val="-7"/>
        </w:rPr>
        <w:t> </w:t>
      </w:r>
      <w:r>
        <w:rPr/>
        <w:t>optimised</w:t>
      </w:r>
      <w:r>
        <w:rPr>
          <w:spacing w:val="-5"/>
        </w:rPr>
        <w:t> </w:t>
      </w:r>
      <w:r>
        <w:rPr/>
        <w:t>group</w:t>
      </w:r>
      <w:r>
        <w:rPr>
          <w:spacing w:val="-7"/>
        </w:rPr>
        <w:t> </w:t>
      </w:r>
      <w:r>
        <w:rPr/>
        <w:t>itinerary,</w:t>
      </w:r>
      <w:r>
        <w:rPr>
          <w:spacing w:val="-6"/>
        </w:rPr>
        <w:t> </w:t>
      </w:r>
      <w:r>
        <w:rPr/>
        <w:t>comprising</w:t>
      </w:r>
      <w:r>
        <w:rPr>
          <w:spacing w:val="-9"/>
        </w:rPr>
        <w:t> </w:t>
      </w:r>
      <w:r>
        <w:rPr/>
        <w:t>up</w:t>
      </w:r>
      <w:r>
        <w:rPr>
          <w:spacing w:val="-5"/>
        </w:rPr>
        <w:t> </w:t>
      </w:r>
      <w:r>
        <w:rPr/>
        <w:t>to</w:t>
      </w:r>
      <w:r>
        <w:rPr>
          <w:spacing w:val="-8"/>
        </w:rPr>
        <w:t> </w:t>
      </w:r>
      <w:r>
        <w:rPr>
          <w:spacing w:val="-2"/>
        </w:rPr>
        <w:t>twenty</w:t>
      </w:r>
    </w:p>
    <w:p>
      <w:pPr>
        <w:pStyle w:val="BodyText"/>
        <w:spacing w:before="0"/>
        <w:jc w:val="left"/>
      </w:pPr>
      <w:r>
        <w:rPr/>
        <w:t>(20)</w:t>
      </w:r>
      <w:r>
        <w:rPr>
          <w:spacing w:val="25"/>
        </w:rPr>
        <w:t> </w:t>
      </w:r>
      <w:r>
        <w:rPr/>
        <w:t>scheduled</w:t>
      </w:r>
      <w:r>
        <w:rPr>
          <w:spacing w:val="24"/>
        </w:rPr>
        <w:t> </w:t>
      </w:r>
      <w:r>
        <w:rPr/>
        <w:t>activities,</w:t>
      </w:r>
      <w:r>
        <w:rPr>
          <w:spacing w:val="25"/>
        </w:rPr>
        <w:t> </w:t>
      </w:r>
      <w:r>
        <w:rPr/>
        <w:t>and</w:t>
      </w:r>
      <w:r>
        <w:rPr>
          <w:spacing w:val="23"/>
        </w:rPr>
        <w:t> </w:t>
      </w:r>
      <w:r>
        <w:rPr/>
        <w:t>present</w:t>
      </w:r>
      <w:r>
        <w:rPr>
          <w:spacing w:val="25"/>
        </w:rPr>
        <w:t> </w:t>
      </w:r>
      <w:r>
        <w:rPr/>
        <w:t>the</w:t>
      </w:r>
      <w:r>
        <w:rPr>
          <w:spacing w:val="23"/>
        </w:rPr>
        <w:t> </w:t>
      </w:r>
      <w:r>
        <w:rPr/>
        <w:t>result</w:t>
      </w:r>
      <w:r>
        <w:rPr>
          <w:spacing w:val="23"/>
        </w:rPr>
        <w:t> </w:t>
      </w:r>
      <w:r>
        <w:rPr/>
        <w:t>to</w:t>
      </w:r>
      <w:r>
        <w:rPr>
          <w:spacing w:val="23"/>
        </w:rPr>
        <w:t> </w:t>
      </w:r>
      <w:r>
        <w:rPr/>
        <w:t>the</w:t>
      </w:r>
      <w:r>
        <w:rPr>
          <w:spacing w:val="25"/>
        </w:rPr>
        <w:t> </w:t>
      </w:r>
      <w:r>
        <w:rPr/>
        <w:t>requesting</w:t>
      </w:r>
      <w:r>
        <w:rPr>
          <w:spacing w:val="22"/>
        </w:rPr>
        <w:t> </w:t>
      </w:r>
      <w:r>
        <w:rPr/>
        <w:t>client</w:t>
      </w:r>
      <w:r>
        <w:rPr>
          <w:spacing w:val="23"/>
        </w:rPr>
        <w:t> </w:t>
      </w:r>
      <w:r>
        <w:rPr/>
        <w:t>within</w:t>
      </w:r>
      <w:r>
        <w:rPr>
          <w:spacing w:val="23"/>
        </w:rPr>
        <w:t> </w:t>
      </w:r>
      <w:r>
        <w:rPr/>
        <w:t>three</w:t>
      </w:r>
      <w:r>
        <w:rPr>
          <w:spacing w:val="23"/>
        </w:rPr>
        <w:t> </w:t>
      </w:r>
      <w:r>
        <w:rPr/>
        <w:t>(3.0)</w:t>
      </w:r>
      <w:r>
        <w:rPr>
          <w:spacing w:val="24"/>
        </w:rPr>
        <w:t> </w:t>
      </w:r>
      <w:r>
        <w:rPr/>
        <w:t>seconds</w:t>
      </w:r>
      <w:r>
        <w:rPr>
          <w:spacing w:val="24"/>
        </w:rPr>
        <w:t> </w:t>
      </w:r>
      <w:r>
        <w:rPr/>
        <w:t>of</w:t>
      </w:r>
      <w:r>
        <w:rPr>
          <w:spacing w:val="23"/>
        </w:rPr>
        <w:t> </w:t>
      </w:r>
      <w:r>
        <w:rPr/>
        <w:t>the initiation of the optimisation request.</w:t>
      </w:r>
    </w:p>
    <w:p>
      <w:pPr>
        <w:pStyle w:val="BodyText"/>
        <w:spacing w:after="0"/>
        <w:jc w:val="left"/>
        <w:sectPr>
          <w:headerReference w:type="default" r:id="rId5"/>
          <w:footerReference w:type="default" r:id="rId6"/>
          <w:type w:val="continuous"/>
          <w:pgSz w:w="11910" w:h="16840"/>
          <w:pgMar w:header="74" w:footer="71" w:top="260" w:bottom="260" w:left="141" w:right="283"/>
          <w:pgNumType w:start="1"/>
        </w:sectPr>
      </w:pPr>
    </w:p>
    <w:p>
      <w:pPr>
        <w:pStyle w:val="BodyText"/>
        <w:spacing w:before="0"/>
        <w:ind w:right="189"/>
      </w:pPr>
      <w:r>
        <w:rPr>
          <w:b/>
          <w:color w:val="2D5FA2"/>
        </w:rPr>
        <w:t>NFR-PER-02:</w:t>
      </w:r>
      <w:r>
        <w:rPr>
          <w:b/>
          <w:color w:val="2D5FA2"/>
          <w:spacing w:val="40"/>
        </w:rPr>
        <w:t> </w:t>
      </w:r>
      <w:r>
        <w:rPr/>
        <w:t>Under a concurrent load of up to one hundred (100) simultaneously authenticated users, the system shall process and respond to all standard HTTP requests within five hundred (500) milliseconds, measured from the moment the server receives the complete request to the moment the first byte of the response is transmitted.</w:t>
      </w:r>
    </w:p>
    <w:p>
      <w:pPr>
        <w:pStyle w:val="BodyText"/>
        <w:spacing w:before="100"/>
        <w:ind w:right="187"/>
      </w:pPr>
      <w:r>
        <w:rPr>
          <w:b/>
          <w:color w:val="2D5FA2"/>
        </w:rPr>
        <w:t>NFR-PER-03:</w:t>
      </w:r>
      <w:r>
        <w:rPr>
          <w:b/>
          <w:color w:val="2D5FA2"/>
          <w:spacing w:val="40"/>
        </w:rPr>
        <w:t> </w:t>
      </w:r>
      <w:r>
        <w:rPr/>
        <w:t>The system shall retrieve frequently accessed, short-lived data — including, but not limited to, user</w:t>
      </w:r>
      <w:r>
        <w:rPr>
          <w:spacing w:val="-11"/>
        </w:rPr>
        <w:t> </w:t>
      </w:r>
      <w:r>
        <w:rPr/>
        <w:t>session</w:t>
      </w:r>
      <w:r>
        <w:rPr>
          <w:spacing w:val="-10"/>
        </w:rPr>
        <w:t> </w:t>
      </w:r>
      <w:r>
        <w:rPr/>
        <w:t>states</w:t>
      </w:r>
      <w:r>
        <w:rPr>
          <w:spacing w:val="-11"/>
        </w:rPr>
        <w:t> </w:t>
      </w:r>
      <w:r>
        <w:rPr/>
        <w:t>and</w:t>
      </w:r>
      <w:r>
        <w:rPr>
          <w:spacing w:val="-10"/>
        </w:rPr>
        <w:t> </w:t>
      </w:r>
      <w:r>
        <w:rPr/>
        <w:t>draft</w:t>
      </w:r>
      <w:r>
        <w:rPr>
          <w:spacing w:val="-10"/>
        </w:rPr>
        <w:t> </w:t>
      </w:r>
      <w:r>
        <w:rPr/>
        <w:t>activity</w:t>
      </w:r>
      <w:r>
        <w:rPr>
          <w:spacing w:val="-10"/>
        </w:rPr>
        <w:t> </w:t>
      </w:r>
      <w:r>
        <w:rPr/>
        <w:t>records</w:t>
      </w:r>
      <w:r>
        <w:rPr>
          <w:spacing w:val="-9"/>
        </w:rPr>
        <w:t> </w:t>
      </w:r>
      <w:r>
        <w:rPr/>
        <w:t>—</w:t>
      </w:r>
      <w:r>
        <w:rPr>
          <w:spacing w:val="-12"/>
        </w:rPr>
        <w:t> </w:t>
      </w:r>
      <w:r>
        <w:rPr/>
        <w:t>from</w:t>
      </w:r>
      <w:r>
        <w:rPr>
          <w:spacing w:val="-9"/>
        </w:rPr>
        <w:t> </w:t>
      </w:r>
      <w:r>
        <w:rPr/>
        <w:t>an</w:t>
      </w:r>
      <w:r>
        <w:rPr>
          <w:spacing w:val="-10"/>
        </w:rPr>
        <w:t> </w:t>
      </w:r>
      <w:r>
        <w:rPr/>
        <w:t>in-memory</w:t>
      </w:r>
      <w:r>
        <w:rPr>
          <w:spacing w:val="-12"/>
        </w:rPr>
        <w:t> </w:t>
      </w:r>
      <w:r>
        <w:rPr/>
        <w:t>caching</w:t>
      </w:r>
      <w:r>
        <w:rPr>
          <w:spacing w:val="-10"/>
        </w:rPr>
        <w:t> </w:t>
      </w:r>
      <w:r>
        <w:rPr/>
        <w:t>layer</w:t>
      </w:r>
      <w:r>
        <w:rPr>
          <w:spacing w:val="-11"/>
        </w:rPr>
        <w:t> </w:t>
      </w:r>
      <w:r>
        <w:rPr/>
        <w:t>within</w:t>
      </w:r>
      <w:r>
        <w:rPr>
          <w:spacing w:val="-10"/>
        </w:rPr>
        <w:t> </w:t>
      </w:r>
      <w:r>
        <w:rPr/>
        <w:t>fifty</w:t>
      </w:r>
      <w:r>
        <w:rPr>
          <w:spacing w:val="-12"/>
        </w:rPr>
        <w:t> </w:t>
      </w:r>
      <w:r>
        <w:rPr/>
        <w:t>(50)</w:t>
      </w:r>
      <w:r>
        <w:rPr>
          <w:spacing w:val="-10"/>
        </w:rPr>
        <w:t> </w:t>
      </w:r>
      <w:r>
        <w:rPr/>
        <w:t>milliseconds, thereby minimising unnecessary read operations on the primary relational database.</w:t>
      </w:r>
    </w:p>
    <w:p>
      <w:pPr>
        <w:pStyle w:val="Heading2"/>
        <w:numPr>
          <w:ilvl w:val="1"/>
          <w:numId w:val="1"/>
        </w:numPr>
        <w:tabs>
          <w:tab w:pos="790" w:val="left" w:leader="none"/>
        </w:tabs>
        <w:spacing w:line="240" w:lineRule="auto" w:before="280" w:after="0"/>
        <w:ind w:left="790" w:right="0" w:hanging="480"/>
        <w:jc w:val="left"/>
        <w:rPr>
          <w:color w:val="ED0000"/>
        </w:rPr>
      </w:pPr>
      <w:r>
        <w:rPr>
          <w:color w:val="ED0000"/>
        </w:rPr>
        <w:t>Security</w:t>
      </w:r>
      <w:r>
        <w:rPr>
          <w:color w:val="ED0000"/>
          <w:spacing w:val="-3"/>
        </w:rPr>
        <w:t> </w:t>
      </w:r>
      <w:r>
        <w:rPr>
          <w:color w:val="ED0000"/>
        </w:rPr>
        <w:t>&amp;</w:t>
      </w:r>
      <w:r>
        <w:rPr>
          <w:color w:val="ED0000"/>
          <w:spacing w:val="-3"/>
        </w:rPr>
        <w:t> </w:t>
      </w:r>
      <w:r>
        <w:rPr>
          <w:color w:val="ED0000"/>
          <w:spacing w:val="-2"/>
        </w:rPr>
        <w:t>Privacy</w:t>
      </w:r>
    </w:p>
    <w:p>
      <w:pPr>
        <w:spacing w:before="160"/>
        <w:ind w:left="310" w:right="192" w:firstLine="0"/>
        <w:jc w:val="both"/>
        <w:rPr>
          <w:sz w:val="22"/>
        </w:rPr>
      </w:pPr>
      <w:r>
        <w:rPr>
          <w:sz w:val="22"/>
        </w:rPr>
        <w:t>The following requirements define the mandatory security controls that the system must enforce to protect user data, prevent unauthorised access, and ensure regulatory alignment.</w:t>
      </w:r>
    </w:p>
    <w:p>
      <w:pPr>
        <w:pStyle w:val="Heading4"/>
        <w:spacing w:before="221"/>
      </w:pPr>
      <w:r>
        <w:rPr>
          <w:color w:val="4471C4"/>
        </w:rPr>
        <w:t>NFR-SEC-01</w:t>
      </w:r>
      <w:r>
        <w:rPr>
          <w:color w:val="4471C4"/>
          <w:spacing w:val="-2"/>
        </w:rPr>
        <w:t> </w:t>
      </w:r>
      <w:r>
        <w:rPr>
          <w:color w:val="4471C4"/>
        </w:rPr>
        <w:t>—</w:t>
      </w:r>
      <w:r>
        <w:rPr>
          <w:color w:val="4471C4"/>
          <w:spacing w:val="-3"/>
        </w:rPr>
        <w:t> </w:t>
      </w:r>
      <w:r>
        <w:rPr>
          <w:color w:val="4471C4"/>
        </w:rPr>
        <w:t>Data</w:t>
      </w:r>
      <w:r>
        <w:rPr>
          <w:color w:val="4471C4"/>
          <w:spacing w:val="-2"/>
        </w:rPr>
        <w:t> </w:t>
      </w:r>
      <w:r>
        <w:rPr>
          <w:color w:val="4471C4"/>
        </w:rPr>
        <w:t>Encryption</w:t>
      </w:r>
      <w:r>
        <w:rPr>
          <w:color w:val="4471C4"/>
          <w:spacing w:val="-3"/>
        </w:rPr>
        <w:t> </w:t>
      </w:r>
      <w:r>
        <w:rPr>
          <w:color w:val="4471C4"/>
        </w:rPr>
        <w:t>at </w:t>
      </w:r>
      <w:r>
        <w:rPr>
          <w:color w:val="4471C4"/>
          <w:spacing w:val="-4"/>
        </w:rPr>
        <w:t>Rest</w:t>
      </w:r>
    </w:p>
    <w:p>
      <w:pPr>
        <w:pStyle w:val="BodyText"/>
        <w:spacing w:before="118"/>
        <w:ind w:right="186"/>
      </w:pPr>
      <w:r>
        <w:rPr>
          <w:b/>
          <w:color w:val="2D5FA2"/>
        </w:rPr>
        <w:t>NFR-SEC-01:</w:t>
      </w:r>
      <w:r>
        <w:rPr>
          <w:b/>
          <w:color w:val="2D5FA2"/>
          <w:spacing w:val="36"/>
        </w:rPr>
        <w:t> </w:t>
      </w:r>
      <w:r>
        <w:rPr/>
        <w:t>All</w:t>
      </w:r>
      <w:r>
        <w:rPr>
          <w:spacing w:val="-8"/>
        </w:rPr>
        <w:t> </w:t>
      </w:r>
      <w:r>
        <w:rPr/>
        <w:t>highly</w:t>
      </w:r>
      <w:r>
        <w:rPr>
          <w:spacing w:val="-9"/>
        </w:rPr>
        <w:t> </w:t>
      </w:r>
      <w:r>
        <w:rPr/>
        <w:t>sensitive</w:t>
      </w:r>
      <w:r>
        <w:rPr>
          <w:spacing w:val="-11"/>
        </w:rPr>
        <w:t> </w:t>
      </w:r>
      <w:r>
        <w:rPr/>
        <w:t>user</w:t>
      </w:r>
      <w:r>
        <w:rPr>
          <w:spacing w:val="-11"/>
        </w:rPr>
        <w:t> </w:t>
      </w:r>
      <w:r>
        <w:rPr/>
        <w:t>documents</w:t>
      </w:r>
      <w:r>
        <w:rPr>
          <w:spacing w:val="-9"/>
        </w:rPr>
        <w:t> </w:t>
      </w:r>
      <w:r>
        <w:rPr/>
        <w:t>stored</w:t>
      </w:r>
      <w:r>
        <w:rPr>
          <w:spacing w:val="-8"/>
        </w:rPr>
        <w:t> </w:t>
      </w:r>
      <w:r>
        <w:rPr/>
        <w:t>by</w:t>
      </w:r>
      <w:r>
        <w:rPr>
          <w:spacing w:val="-12"/>
        </w:rPr>
        <w:t> </w:t>
      </w:r>
      <w:r>
        <w:rPr/>
        <w:t>the</w:t>
      </w:r>
      <w:r>
        <w:rPr>
          <w:spacing w:val="-8"/>
        </w:rPr>
        <w:t> </w:t>
      </w:r>
      <w:r>
        <w:rPr/>
        <w:t>system</w:t>
      </w:r>
      <w:r>
        <w:rPr>
          <w:spacing w:val="-6"/>
        </w:rPr>
        <w:t> </w:t>
      </w:r>
      <w:r>
        <w:rPr/>
        <w:t>—</w:t>
      </w:r>
      <w:r>
        <w:rPr>
          <w:spacing w:val="-8"/>
        </w:rPr>
        <w:t> </w:t>
      </w:r>
      <w:r>
        <w:rPr/>
        <w:t>specifically</w:t>
      </w:r>
      <w:r>
        <w:rPr>
          <w:spacing w:val="-9"/>
        </w:rPr>
        <w:t> </w:t>
      </w:r>
      <w:r>
        <w:rPr/>
        <w:t>including,</w:t>
      </w:r>
      <w:r>
        <w:rPr>
          <w:spacing w:val="-9"/>
        </w:rPr>
        <w:t> </w:t>
      </w:r>
      <w:r>
        <w:rPr/>
        <w:t>but</w:t>
      </w:r>
      <w:r>
        <w:rPr>
          <w:spacing w:val="-12"/>
        </w:rPr>
        <w:t> </w:t>
      </w:r>
      <w:r>
        <w:rPr/>
        <w:t>not</w:t>
      </w:r>
      <w:r>
        <w:rPr>
          <w:spacing w:val="-9"/>
        </w:rPr>
        <w:t> </w:t>
      </w:r>
      <w:r>
        <w:rPr/>
        <w:t>limited to, passport scans and national identity documents — shall be encrypted at rest using an industry-standard, symmetric block-cipher algorithm equivalent to or stronger than AES-256. No plaintext copy of such documents shall persist on any storage medium managed by the system.</w:t>
      </w:r>
    </w:p>
    <w:p>
      <w:pPr>
        <w:pStyle w:val="Heading4"/>
      </w:pPr>
      <w:r>
        <w:rPr>
          <w:color w:val="4471C4"/>
        </w:rPr>
        <w:t>NFR-SEC-02</w:t>
      </w:r>
      <w:r>
        <w:rPr>
          <w:color w:val="4471C4"/>
          <w:spacing w:val="-3"/>
        </w:rPr>
        <w:t> </w:t>
      </w:r>
      <w:r>
        <w:rPr>
          <w:color w:val="4471C4"/>
        </w:rPr>
        <w:t>—</w:t>
      </w:r>
      <w:r>
        <w:rPr>
          <w:color w:val="4471C4"/>
          <w:spacing w:val="-3"/>
        </w:rPr>
        <w:t> </w:t>
      </w:r>
      <w:r>
        <w:rPr>
          <w:color w:val="4471C4"/>
        </w:rPr>
        <w:t>Token-Based</w:t>
      </w:r>
      <w:r>
        <w:rPr>
          <w:color w:val="4471C4"/>
          <w:spacing w:val="-1"/>
        </w:rPr>
        <w:t> </w:t>
      </w:r>
      <w:r>
        <w:rPr>
          <w:color w:val="4471C4"/>
          <w:spacing w:val="-2"/>
        </w:rPr>
        <w:t>Authentication</w:t>
      </w:r>
    </w:p>
    <w:p>
      <w:pPr>
        <w:pStyle w:val="BodyText"/>
        <w:ind w:right="188"/>
      </w:pPr>
      <w:r>
        <w:rPr>
          <w:b/>
          <w:color w:val="2D5FA2"/>
        </w:rPr>
        <w:t>NFR-SEC-02:</w:t>
      </w:r>
      <w:r>
        <w:rPr>
          <w:b/>
          <w:color w:val="2D5FA2"/>
          <w:spacing w:val="40"/>
        </w:rPr>
        <w:t> </w:t>
      </w:r>
      <w:r>
        <w:rPr/>
        <w:t>All</w:t>
      </w:r>
      <w:r>
        <w:rPr>
          <w:spacing w:val="-5"/>
        </w:rPr>
        <w:t> </w:t>
      </w:r>
      <w:r>
        <w:rPr/>
        <w:t>API</w:t>
      </w:r>
      <w:r>
        <w:rPr>
          <w:spacing w:val="-5"/>
        </w:rPr>
        <w:t> </w:t>
      </w:r>
      <w:r>
        <w:rPr/>
        <w:t>endpoints</w:t>
      </w:r>
      <w:r>
        <w:rPr>
          <w:spacing w:val="-4"/>
        </w:rPr>
        <w:t> </w:t>
      </w:r>
      <w:r>
        <w:rPr/>
        <w:t>that</w:t>
      </w:r>
      <w:r>
        <w:rPr>
          <w:spacing w:val="-4"/>
        </w:rPr>
        <w:t> </w:t>
      </w:r>
      <w:r>
        <w:rPr/>
        <w:t>expose</w:t>
      </w:r>
      <w:r>
        <w:rPr>
          <w:spacing w:val="-4"/>
        </w:rPr>
        <w:t> </w:t>
      </w:r>
      <w:r>
        <w:rPr/>
        <w:t>protected</w:t>
      </w:r>
      <w:r>
        <w:rPr>
          <w:spacing w:val="-4"/>
        </w:rPr>
        <w:t> </w:t>
      </w:r>
      <w:r>
        <w:rPr/>
        <w:t>resources</w:t>
      </w:r>
      <w:r>
        <w:rPr>
          <w:spacing w:val="-5"/>
        </w:rPr>
        <w:t> </w:t>
      </w:r>
      <w:r>
        <w:rPr/>
        <w:t>shall</w:t>
      </w:r>
      <w:r>
        <w:rPr>
          <w:spacing w:val="-5"/>
        </w:rPr>
        <w:t> </w:t>
      </w:r>
      <w:r>
        <w:rPr/>
        <w:t>require</w:t>
      </w:r>
      <w:r>
        <w:rPr>
          <w:spacing w:val="-4"/>
        </w:rPr>
        <w:t> </w:t>
      </w:r>
      <w:r>
        <w:rPr/>
        <w:t>a</w:t>
      </w:r>
      <w:r>
        <w:rPr>
          <w:spacing w:val="-5"/>
        </w:rPr>
        <w:t> </w:t>
      </w:r>
      <w:r>
        <w:rPr/>
        <w:t>valid,</w:t>
      </w:r>
      <w:r>
        <w:rPr>
          <w:spacing w:val="-5"/>
        </w:rPr>
        <w:t> </w:t>
      </w:r>
      <w:r>
        <w:rPr/>
        <w:t>cryptographically</w:t>
      </w:r>
      <w:r>
        <w:rPr>
          <w:spacing w:val="-5"/>
        </w:rPr>
        <w:t> </w:t>
      </w:r>
      <w:r>
        <w:rPr/>
        <w:t>signed bearer token for access. Short-lived access tokens shall expire no later than one (1) hour following issuance. Long-lived</w:t>
      </w:r>
      <w:r>
        <w:rPr>
          <w:spacing w:val="-3"/>
        </w:rPr>
        <w:t> </w:t>
      </w:r>
      <w:r>
        <w:rPr/>
        <w:t>refresh</w:t>
      </w:r>
      <w:r>
        <w:rPr>
          <w:spacing w:val="-5"/>
        </w:rPr>
        <w:t> </w:t>
      </w:r>
      <w:r>
        <w:rPr/>
        <w:t>tokens,</w:t>
      </w:r>
      <w:r>
        <w:rPr>
          <w:spacing w:val="-4"/>
        </w:rPr>
        <w:t> </w:t>
      </w:r>
      <w:r>
        <w:rPr/>
        <w:t>used</w:t>
      </w:r>
      <w:r>
        <w:rPr>
          <w:spacing w:val="-3"/>
        </w:rPr>
        <w:t> </w:t>
      </w:r>
      <w:r>
        <w:rPr/>
        <w:t>solely</w:t>
      </w:r>
      <w:r>
        <w:rPr>
          <w:spacing w:val="-7"/>
        </w:rPr>
        <w:t> </w:t>
      </w:r>
      <w:r>
        <w:rPr/>
        <w:t>to</w:t>
      </w:r>
      <w:r>
        <w:rPr>
          <w:spacing w:val="-6"/>
        </w:rPr>
        <w:t> </w:t>
      </w:r>
      <w:r>
        <w:rPr/>
        <w:t>obtain</w:t>
      </w:r>
      <w:r>
        <w:rPr>
          <w:spacing w:val="-8"/>
        </w:rPr>
        <w:t> </w:t>
      </w:r>
      <w:r>
        <w:rPr/>
        <w:t>new</w:t>
      </w:r>
      <w:r>
        <w:rPr>
          <w:spacing w:val="-5"/>
        </w:rPr>
        <w:t> </w:t>
      </w:r>
      <w:r>
        <w:rPr/>
        <w:t>access</w:t>
      </w:r>
      <w:r>
        <w:rPr>
          <w:spacing w:val="-4"/>
        </w:rPr>
        <w:t> </w:t>
      </w:r>
      <w:r>
        <w:rPr/>
        <w:t>tokens,</w:t>
      </w:r>
      <w:r>
        <w:rPr>
          <w:spacing w:val="-4"/>
        </w:rPr>
        <w:t> </w:t>
      </w:r>
      <w:r>
        <w:rPr/>
        <w:t>shall</w:t>
      </w:r>
      <w:r>
        <w:rPr>
          <w:spacing w:val="-6"/>
        </w:rPr>
        <w:t> </w:t>
      </w:r>
      <w:r>
        <w:rPr/>
        <w:t>expire</w:t>
      </w:r>
      <w:r>
        <w:rPr>
          <w:spacing w:val="-6"/>
        </w:rPr>
        <w:t> </w:t>
      </w:r>
      <w:r>
        <w:rPr/>
        <w:t>no</w:t>
      </w:r>
      <w:r>
        <w:rPr>
          <w:spacing w:val="-6"/>
        </w:rPr>
        <w:t> </w:t>
      </w:r>
      <w:r>
        <w:rPr/>
        <w:t>later</w:t>
      </w:r>
      <w:r>
        <w:rPr>
          <w:spacing w:val="-6"/>
        </w:rPr>
        <w:t> </w:t>
      </w:r>
      <w:r>
        <w:rPr/>
        <w:t>than</w:t>
      </w:r>
      <w:r>
        <w:rPr>
          <w:spacing w:val="-5"/>
        </w:rPr>
        <w:t> </w:t>
      </w:r>
      <w:r>
        <w:rPr/>
        <w:t>twenty-four</w:t>
      </w:r>
      <w:r>
        <w:rPr>
          <w:spacing w:val="-6"/>
        </w:rPr>
        <w:t> </w:t>
      </w:r>
      <w:r>
        <w:rPr/>
        <w:t>(24) hours following issuance.</w:t>
      </w:r>
    </w:p>
    <w:p>
      <w:pPr>
        <w:pStyle w:val="Heading4"/>
      </w:pPr>
      <w:r>
        <w:rPr>
          <w:color w:val="4471C4"/>
        </w:rPr>
        <w:t>NFR-SEC-03</w:t>
      </w:r>
      <w:r>
        <w:rPr>
          <w:color w:val="4471C4"/>
          <w:spacing w:val="-3"/>
        </w:rPr>
        <w:t> </w:t>
      </w:r>
      <w:r>
        <w:rPr>
          <w:color w:val="4471C4"/>
        </w:rPr>
        <w:t>—</w:t>
      </w:r>
      <w:r>
        <w:rPr>
          <w:color w:val="4471C4"/>
          <w:spacing w:val="-4"/>
        </w:rPr>
        <w:t> </w:t>
      </w:r>
      <w:r>
        <w:rPr>
          <w:color w:val="4471C4"/>
        </w:rPr>
        <w:t>Role-Based</w:t>
      </w:r>
      <w:r>
        <w:rPr>
          <w:color w:val="4471C4"/>
          <w:spacing w:val="-2"/>
        </w:rPr>
        <w:t> </w:t>
      </w:r>
      <w:r>
        <w:rPr>
          <w:color w:val="4471C4"/>
        </w:rPr>
        <w:t>Access</w:t>
      </w:r>
      <w:r>
        <w:rPr>
          <w:color w:val="4471C4"/>
          <w:spacing w:val="-2"/>
        </w:rPr>
        <w:t> Control</w:t>
      </w:r>
    </w:p>
    <w:p>
      <w:pPr>
        <w:pStyle w:val="BodyText"/>
        <w:ind w:right="189"/>
      </w:pPr>
      <w:r>
        <w:rPr>
          <w:b/>
          <w:color w:val="2D5FA2"/>
        </w:rPr>
        <w:t>NFR-SEC-03:</w:t>
      </w:r>
      <w:r>
        <w:rPr>
          <w:b/>
          <w:color w:val="2D5FA2"/>
          <w:spacing w:val="40"/>
        </w:rPr>
        <w:t> </w:t>
      </w:r>
      <w:r>
        <w:rPr/>
        <w:t>The system shall enforce Role-Based Access Control (RBAC) on all write-operations targeting financial data and settlement workflows. A request to perform such an operation shall be rejected with an appropriate HTTP 403 Forbidden response unless the authenticated principal possesses a delegated authoritative role (e.g., Trip Organiser or delegated Financial Editor) as recorded in the system's permission </w:t>
      </w:r>
      <w:r>
        <w:rPr>
          <w:spacing w:val="-2"/>
        </w:rPr>
        <w:t>registry.</w:t>
      </w:r>
    </w:p>
    <w:p>
      <w:pPr>
        <w:pStyle w:val="Heading4"/>
      </w:pPr>
      <w:r>
        <w:rPr>
          <w:color w:val="4471C4"/>
        </w:rPr>
        <w:t>NFR-SEC-04</w:t>
      </w:r>
      <w:r>
        <w:rPr>
          <w:color w:val="4471C4"/>
          <w:spacing w:val="-3"/>
        </w:rPr>
        <w:t> </w:t>
      </w:r>
      <w:r>
        <w:rPr>
          <w:color w:val="4471C4"/>
        </w:rPr>
        <w:t>—</w:t>
      </w:r>
      <w:r>
        <w:rPr>
          <w:color w:val="4471C4"/>
          <w:spacing w:val="-2"/>
        </w:rPr>
        <w:t> </w:t>
      </w:r>
      <w:r>
        <w:rPr>
          <w:color w:val="4471C4"/>
        </w:rPr>
        <w:t>Rate</w:t>
      </w:r>
      <w:r>
        <w:rPr>
          <w:color w:val="4471C4"/>
          <w:spacing w:val="-2"/>
        </w:rPr>
        <w:t> Limiting</w:t>
      </w:r>
    </w:p>
    <w:p>
      <w:pPr>
        <w:pStyle w:val="BodyText"/>
        <w:spacing w:before="123"/>
        <w:ind w:right="188"/>
      </w:pPr>
      <w:r>
        <w:rPr>
          <w:b/>
          <w:color w:val="2D5FA2"/>
        </w:rPr>
        <w:t>NFR-SEC-04:</w:t>
      </w:r>
      <w:r>
        <w:rPr>
          <w:b/>
          <w:color w:val="2D5FA2"/>
          <w:spacing w:val="40"/>
        </w:rPr>
        <w:t> </w:t>
      </w:r>
      <w:r>
        <w:rPr/>
        <w:t>The</w:t>
      </w:r>
      <w:r>
        <w:rPr>
          <w:spacing w:val="-3"/>
        </w:rPr>
        <w:t> </w:t>
      </w:r>
      <w:r>
        <w:rPr/>
        <w:t>system</w:t>
      </w:r>
      <w:r>
        <w:rPr>
          <w:spacing w:val="-6"/>
        </w:rPr>
        <w:t> </w:t>
      </w:r>
      <w:r>
        <w:rPr/>
        <w:t>shall</w:t>
      </w:r>
      <w:r>
        <w:rPr>
          <w:spacing w:val="-4"/>
        </w:rPr>
        <w:t> </w:t>
      </w:r>
      <w:r>
        <w:rPr/>
        <w:t>implement</w:t>
      </w:r>
      <w:r>
        <w:rPr>
          <w:spacing w:val="-3"/>
        </w:rPr>
        <w:t> </w:t>
      </w:r>
      <w:r>
        <w:rPr/>
        <w:t>per-user</w:t>
      </w:r>
      <w:r>
        <w:rPr>
          <w:spacing w:val="-4"/>
        </w:rPr>
        <w:t> </w:t>
      </w:r>
      <w:r>
        <w:rPr/>
        <w:t>rate</w:t>
      </w:r>
      <w:r>
        <w:rPr>
          <w:spacing w:val="-3"/>
        </w:rPr>
        <w:t> </w:t>
      </w:r>
      <w:r>
        <w:rPr/>
        <w:t>limiting</w:t>
      </w:r>
      <w:r>
        <w:rPr>
          <w:spacing w:val="-7"/>
        </w:rPr>
        <w:t> </w:t>
      </w:r>
      <w:r>
        <w:rPr/>
        <w:t>on</w:t>
      </w:r>
      <w:r>
        <w:rPr>
          <w:spacing w:val="-2"/>
        </w:rPr>
        <w:t> </w:t>
      </w:r>
      <w:r>
        <w:rPr/>
        <w:t>all</w:t>
      </w:r>
      <w:r>
        <w:rPr>
          <w:spacing w:val="-6"/>
        </w:rPr>
        <w:t> </w:t>
      </w:r>
      <w:r>
        <w:rPr/>
        <w:t>publicly</w:t>
      </w:r>
      <w:r>
        <w:rPr>
          <w:spacing w:val="-5"/>
        </w:rPr>
        <w:t> </w:t>
      </w:r>
      <w:r>
        <w:rPr/>
        <w:t>accessible</w:t>
      </w:r>
      <w:r>
        <w:rPr>
          <w:spacing w:val="-3"/>
        </w:rPr>
        <w:t> </w:t>
      </w:r>
      <w:r>
        <w:rPr/>
        <w:t>endpoints.</w:t>
      </w:r>
      <w:r>
        <w:rPr>
          <w:spacing w:val="-4"/>
        </w:rPr>
        <w:t> </w:t>
      </w:r>
      <w:r>
        <w:rPr/>
        <w:t>No</w:t>
      </w:r>
      <w:r>
        <w:rPr>
          <w:spacing w:val="-3"/>
        </w:rPr>
        <w:t> </w:t>
      </w:r>
      <w:r>
        <w:rPr/>
        <w:t>single authenticated</w:t>
      </w:r>
      <w:r>
        <w:rPr>
          <w:spacing w:val="-1"/>
        </w:rPr>
        <w:t> </w:t>
      </w:r>
      <w:r>
        <w:rPr/>
        <w:t>or</w:t>
      </w:r>
      <w:r>
        <w:rPr>
          <w:spacing w:val="-1"/>
        </w:rPr>
        <w:t> </w:t>
      </w:r>
      <w:r>
        <w:rPr/>
        <w:t>unauthenticated user identity shall</w:t>
      </w:r>
      <w:r>
        <w:rPr>
          <w:spacing w:val="-1"/>
        </w:rPr>
        <w:t> </w:t>
      </w:r>
      <w:r>
        <w:rPr/>
        <w:t>be</w:t>
      </w:r>
      <w:r>
        <w:rPr>
          <w:spacing w:val="-1"/>
        </w:rPr>
        <w:t> </w:t>
      </w:r>
      <w:r>
        <w:rPr/>
        <w:t>permitted</w:t>
      </w:r>
      <w:r>
        <w:rPr>
          <w:spacing w:val="-3"/>
        </w:rPr>
        <w:t> </w:t>
      </w:r>
      <w:r>
        <w:rPr/>
        <w:t>to</w:t>
      </w:r>
      <w:r>
        <w:rPr>
          <w:spacing w:val="-1"/>
        </w:rPr>
        <w:t> </w:t>
      </w:r>
      <w:r>
        <w:rPr/>
        <w:t>exceed</w:t>
      </w:r>
      <w:r>
        <w:rPr>
          <w:spacing w:val="-1"/>
        </w:rPr>
        <w:t> </w:t>
      </w:r>
      <w:r>
        <w:rPr/>
        <w:t>one</w:t>
      </w:r>
      <w:r>
        <w:rPr>
          <w:spacing w:val="-1"/>
        </w:rPr>
        <w:t> </w:t>
      </w:r>
      <w:r>
        <w:rPr/>
        <w:t>hundred (100) requests</w:t>
      </w:r>
      <w:r>
        <w:rPr>
          <w:spacing w:val="-2"/>
        </w:rPr>
        <w:t> </w:t>
      </w:r>
      <w:r>
        <w:rPr/>
        <w:t>per minute. Requests that exceed this threshold shall receive an HTTP 429 Too Many Requests response, preventing resource exhaustion and denial-of-service abuse.</w:t>
      </w:r>
    </w:p>
    <w:p>
      <w:pPr>
        <w:pStyle w:val="Heading2"/>
        <w:numPr>
          <w:ilvl w:val="1"/>
          <w:numId w:val="1"/>
        </w:numPr>
        <w:tabs>
          <w:tab w:pos="790" w:val="left" w:leader="none"/>
        </w:tabs>
        <w:spacing w:line="240" w:lineRule="auto" w:before="278" w:after="0"/>
        <w:ind w:left="790" w:right="0" w:hanging="480"/>
        <w:jc w:val="left"/>
        <w:rPr>
          <w:color w:val="ED0000"/>
        </w:rPr>
      </w:pPr>
      <w:r>
        <w:rPr>
          <w:color w:val="ED0000"/>
        </w:rPr>
        <w:t>Reliability</w:t>
      </w:r>
      <w:r>
        <w:rPr>
          <w:color w:val="ED0000"/>
          <w:spacing w:val="-3"/>
        </w:rPr>
        <w:t> </w:t>
      </w:r>
      <w:r>
        <w:rPr>
          <w:color w:val="ED0000"/>
        </w:rPr>
        <w:t>&amp;</w:t>
      </w:r>
      <w:r>
        <w:rPr>
          <w:color w:val="ED0000"/>
          <w:spacing w:val="-3"/>
        </w:rPr>
        <w:t> </w:t>
      </w:r>
      <w:r>
        <w:rPr>
          <w:color w:val="ED0000"/>
          <w:spacing w:val="-2"/>
        </w:rPr>
        <w:t>Availability</w:t>
      </w:r>
    </w:p>
    <w:p>
      <w:pPr>
        <w:spacing w:before="159"/>
        <w:ind w:left="310" w:right="193" w:firstLine="0"/>
        <w:jc w:val="both"/>
        <w:rPr>
          <w:sz w:val="22"/>
        </w:rPr>
      </w:pPr>
      <w:r>
        <w:rPr>
          <w:sz w:val="22"/>
        </w:rPr>
        <w:t>The following requirements define the system's expected behaviour with respect to data availability, fault tolerance, and recovery under adverse network or operational conditions.</w:t>
      </w:r>
    </w:p>
    <w:p>
      <w:pPr>
        <w:pStyle w:val="Heading4"/>
        <w:spacing w:before="222"/>
      </w:pPr>
      <w:r>
        <w:rPr>
          <w:color w:val="4471C4"/>
        </w:rPr>
        <w:t>NFR-REL-01</w:t>
      </w:r>
      <w:r>
        <w:rPr>
          <w:color w:val="4471C4"/>
          <w:spacing w:val="-3"/>
        </w:rPr>
        <w:t> </w:t>
      </w:r>
      <w:r>
        <w:rPr>
          <w:color w:val="4471C4"/>
        </w:rPr>
        <w:t>—</w:t>
      </w:r>
      <w:r>
        <w:rPr>
          <w:color w:val="4471C4"/>
          <w:spacing w:val="-2"/>
        </w:rPr>
        <w:t> </w:t>
      </w:r>
      <w:r>
        <w:rPr>
          <w:color w:val="4471C4"/>
        </w:rPr>
        <w:t>Offline</w:t>
      </w:r>
      <w:r>
        <w:rPr>
          <w:color w:val="4471C4"/>
          <w:spacing w:val="-4"/>
        </w:rPr>
        <w:t> </w:t>
      </w:r>
      <w:r>
        <w:rPr>
          <w:color w:val="4471C4"/>
          <w:spacing w:val="-2"/>
        </w:rPr>
        <w:t>Resilience</w:t>
      </w:r>
    </w:p>
    <w:p>
      <w:pPr>
        <w:pStyle w:val="BodyText"/>
        <w:ind w:right="190"/>
      </w:pPr>
      <w:r>
        <w:rPr>
          <w:b/>
          <w:color w:val="2D5FA2"/>
        </w:rPr>
        <w:t>NFR-REL-01:</w:t>
      </w:r>
      <w:r>
        <w:rPr>
          <w:b/>
          <w:color w:val="2D5FA2"/>
          <w:spacing w:val="40"/>
        </w:rPr>
        <w:t> </w:t>
      </w:r>
      <w:r>
        <w:rPr/>
        <w:t>The</w:t>
      </w:r>
      <w:r>
        <w:rPr>
          <w:spacing w:val="-4"/>
        </w:rPr>
        <w:t> </w:t>
      </w:r>
      <w:r>
        <w:rPr/>
        <w:t>mobile</w:t>
      </w:r>
      <w:r>
        <w:rPr>
          <w:spacing w:val="-4"/>
        </w:rPr>
        <w:t> </w:t>
      </w:r>
      <w:r>
        <w:rPr/>
        <w:t>and</w:t>
      </w:r>
      <w:r>
        <w:rPr>
          <w:spacing w:val="-3"/>
        </w:rPr>
        <w:t> </w:t>
      </w:r>
      <w:r>
        <w:rPr/>
        <w:t>web</w:t>
      </w:r>
      <w:r>
        <w:rPr>
          <w:spacing w:val="-3"/>
        </w:rPr>
        <w:t> </w:t>
      </w:r>
      <w:r>
        <w:rPr/>
        <w:t>client</w:t>
      </w:r>
      <w:r>
        <w:rPr>
          <w:spacing w:val="-3"/>
        </w:rPr>
        <w:t> </w:t>
      </w:r>
      <w:r>
        <w:rPr/>
        <w:t>application</w:t>
      </w:r>
      <w:r>
        <w:rPr>
          <w:spacing w:val="-3"/>
        </w:rPr>
        <w:t> </w:t>
      </w:r>
      <w:r>
        <w:rPr/>
        <w:t>shall</w:t>
      </w:r>
      <w:r>
        <w:rPr>
          <w:spacing w:val="-4"/>
        </w:rPr>
        <w:t> </w:t>
      </w:r>
      <w:r>
        <w:rPr/>
        <w:t>maintain</w:t>
      </w:r>
      <w:r>
        <w:rPr>
          <w:spacing w:val="-3"/>
        </w:rPr>
        <w:t> </w:t>
      </w:r>
      <w:r>
        <w:rPr/>
        <w:t>a</w:t>
      </w:r>
      <w:r>
        <w:rPr>
          <w:spacing w:val="-2"/>
        </w:rPr>
        <w:t> </w:t>
      </w:r>
      <w:r>
        <w:rPr/>
        <w:t>local</w:t>
      </w:r>
      <w:r>
        <w:rPr>
          <w:spacing w:val="-4"/>
        </w:rPr>
        <w:t> </w:t>
      </w:r>
      <w:r>
        <w:rPr/>
        <w:t>persistence</w:t>
      </w:r>
      <w:r>
        <w:rPr>
          <w:spacing w:val="-4"/>
        </w:rPr>
        <w:t> </w:t>
      </w:r>
      <w:r>
        <w:rPr/>
        <w:t>layer</w:t>
      </w:r>
      <w:r>
        <w:rPr>
          <w:spacing w:val="-4"/>
        </w:rPr>
        <w:t> </w:t>
      </w:r>
      <w:r>
        <w:rPr/>
        <w:t>capable</w:t>
      </w:r>
      <w:r>
        <w:rPr>
          <w:spacing w:val="-2"/>
        </w:rPr>
        <w:t> </w:t>
      </w:r>
      <w:r>
        <w:rPr/>
        <w:t>of</w:t>
      </w:r>
      <w:r>
        <w:rPr>
          <w:spacing w:val="-3"/>
        </w:rPr>
        <w:t> </w:t>
      </w:r>
      <w:r>
        <w:rPr/>
        <w:t>storing the complete state of all confirmed itinerary items. In the total absence of network connectivity (0% availability), an authenticated user shall be able to view all previously synchronised, confirmed itinerary content without degradation of the presented data.</w:t>
      </w:r>
    </w:p>
    <w:p>
      <w:pPr>
        <w:pStyle w:val="Heading4"/>
      </w:pPr>
      <w:r>
        <w:rPr>
          <w:color w:val="4471C4"/>
        </w:rPr>
        <w:t>NFR-REL-02</w:t>
      </w:r>
      <w:r>
        <w:rPr>
          <w:color w:val="4471C4"/>
          <w:spacing w:val="-3"/>
        </w:rPr>
        <w:t> </w:t>
      </w:r>
      <w:r>
        <w:rPr>
          <w:color w:val="4471C4"/>
        </w:rPr>
        <w:t>—</w:t>
      </w:r>
      <w:r>
        <w:rPr>
          <w:color w:val="4471C4"/>
          <w:spacing w:val="1"/>
        </w:rPr>
        <w:t> </w:t>
      </w:r>
      <w:r>
        <w:rPr>
          <w:color w:val="4471C4"/>
        </w:rPr>
        <w:t>State</w:t>
      </w:r>
      <w:r>
        <w:rPr>
          <w:color w:val="4471C4"/>
          <w:spacing w:val="-1"/>
        </w:rPr>
        <w:t> </w:t>
      </w:r>
      <w:r>
        <w:rPr>
          <w:color w:val="4471C4"/>
          <w:spacing w:val="-2"/>
        </w:rPr>
        <w:t>Synchronisation</w:t>
      </w:r>
    </w:p>
    <w:p>
      <w:pPr>
        <w:pStyle w:val="BodyText"/>
        <w:ind w:right="185"/>
      </w:pPr>
      <w:r>
        <w:rPr>
          <w:b/>
          <w:color w:val="2D5FA2"/>
        </w:rPr>
        <w:t>NFR-REL-02:</w:t>
      </w:r>
      <w:r>
        <w:rPr>
          <w:b/>
          <w:color w:val="2D5FA2"/>
          <w:spacing w:val="40"/>
        </w:rPr>
        <w:t> </w:t>
      </w:r>
      <w:r>
        <w:rPr/>
        <w:t>Upon</w:t>
      </w:r>
      <w:r>
        <w:rPr>
          <w:spacing w:val="-7"/>
        </w:rPr>
        <w:t> </w:t>
      </w:r>
      <w:r>
        <w:rPr/>
        <w:t>the</w:t>
      </w:r>
      <w:r>
        <w:rPr>
          <w:spacing w:val="-8"/>
        </w:rPr>
        <w:t> </w:t>
      </w:r>
      <w:r>
        <w:rPr/>
        <w:t>restoration</w:t>
      </w:r>
      <w:r>
        <w:rPr>
          <w:spacing w:val="-7"/>
        </w:rPr>
        <w:t> </w:t>
      </w:r>
      <w:r>
        <w:rPr/>
        <w:t>of</w:t>
      </w:r>
      <w:r>
        <w:rPr>
          <w:spacing w:val="-8"/>
        </w:rPr>
        <w:t> </w:t>
      </w:r>
      <w:r>
        <w:rPr/>
        <w:t>network</w:t>
      </w:r>
      <w:r>
        <w:rPr>
          <w:spacing w:val="-7"/>
        </w:rPr>
        <w:t> </w:t>
      </w:r>
      <w:r>
        <w:rPr/>
        <w:t>connectivity</w:t>
      </w:r>
      <w:r>
        <w:rPr>
          <w:spacing w:val="-9"/>
        </w:rPr>
        <w:t> </w:t>
      </w:r>
      <w:r>
        <w:rPr/>
        <w:t>following</w:t>
      </w:r>
      <w:r>
        <w:rPr>
          <w:spacing w:val="-9"/>
        </w:rPr>
        <w:t> </w:t>
      </w:r>
      <w:r>
        <w:rPr/>
        <w:t>a</w:t>
      </w:r>
      <w:r>
        <w:rPr>
          <w:spacing w:val="-9"/>
        </w:rPr>
        <w:t> </w:t>
      </w:r>
      <w:r>
        <w:rPr/>
        <w:t>period</w:t>
      </w:r>
      <w:r>
        <w:rPr>
          <w:spacing w:val="-7"/>
        </w:rPr>
        <w:t> </w:t>
      </w:r>
      <w:r>
        <w:rPr/>
        <w:t>of</w:t>
      </w:r>
      <w:r>
        <w:rPr>
          <w:spacing w:val="-7"/>
        </w:rPr>
        <w:t> </w:t>
      </w:r>
      <w:r>
        <w:rPr/>
        <w:t>offline</w:t>
      </w:r>
      <w:r>
        <w:rPr>
          <w:spacing w:val="-6"/>
        </w:rPr>
        <w:t> </w:t>
      </w:r>
      <w:r>
        <w:rPr/>
        <w:t>operation,</w:t>
      </w:r>
      <w:r>
        <w:rPr>
          <w:spacing w:val="-9"/>
        </w:rPr>
        <w:t> </w:t>
      </w:r>
      <w:r>
        <w:rPr/>
        <w:t>the</w:t>
      </w:r>
      <w:r>
        <w:rPr>
          <w:spacing w:val="-6"/>
        </w:rPr>
        <w:t> </w:t>
      </w:r>
      <w:r>
        <w:rPr/>
        <w:t>system shall complete the full synchronisation of locally accumulated changes to the authoritative server-side state within five (5) seconds. Conflicts arising from concurrent edits shall be resolved deterministically by applying a Server-is-Truth resolution strategy, whereby the server-side version is treated as canonical and local divergences are resolved accordingly.</w:t>
      </w:r>
    </w:p>
    <w:p>
      <w:pPr>
        <w:pStyle w:val="BodyText"/>
        <w:spacing w:after="0"/>
        <w:sectPr>
          <w:pgSz w:w="11910" w:h="16840"/>
          <w:pgMar w:header="74" w:footer="71" w:top="260" w:bottom="260" w:left="141" w:right="283"/>
        </w:sectPr>
      </w:pPr>
    </w:p>
    <w:p>
      <w:pPr>
        <w:pStyle w:val="Heading4"/>
        <w:spacing w:line="292" w:lineRule="exact" w:before="0"/>
      </w:pPr>
      <w:r>
        <w:rPr>
          <w:color w:val="4471C4"/>
        </w:rPr>
        <w:t>NFR-REL-03</w:t>
      </w:r>
      <w:r>
        <w:rPr>
          <w:color w:val="4471C4"/>
          <w:spacing w:val="-3"/>
        </w:rPr>
        <w:t> </w:t>
      </w:r>
      <w:r>
        <w:rPr>
          <w:color w:val="4471C4"/>
        </w:rPr>
        <w:t>—</w:t>
      </w:r>
      <w:r>
        <w:rPr>
          <w:color w:val="4471C4"/>
          <w:spacing w:val="-3"/>
        </w:rPr>
        <w:t> </w:t>
      </w:r>
      <w:r>
        <w:rPr>
          <w:color w:val="4471C4"/>
        </w:rPr>
        <w:t>Automated</w:t>
      </w:r>
      <w:r>
        <w:rPr>
          <w:color w:val="4471C4"/>
          <w:spacing w:val="-1"/>
        </w:rPr>
        <w:t> </w:t>
      </w:r>
      <w:r>
        <w:rPr>
          <w:color w:val="4471C4"/>
        </w:rPr>
        <w:t>Data</w:t>
      </w:r>
      <w:r>
        <w:rPr>
          <w:color w:val="4471C4"/>
          <w:spacing w:val="-1"/>
        </w:rPr>
        <w:t> </w:t>
      </w:r>
      <w:r>
        <w:rPr>
          <w:color w:val="4471C4"/>
          <w:spacing w:val="-2"/>
        </w:rPr>
        <w:t>Backups</w:t>
      </w:r>
    </w:p>
    <w:p>
      <w:pPr>
        <w:pStyle w:val="BodyText"/>
        <w:ind w:right="189"/>
      </w:pPr>
      <w:r>
        <w:rPr>
          <w:b/>
          <w:color w:val="2D5FA2"/>
        </w:rPr>
        <w:t>NFR-REL-03:</w:t>
      </w:r>
      <w:r>
        <w:rPr>
          <w:b/>
          <w:color w:val="2D5FA2"/>
          <w:spacing w:val="40"/>
        </w:rPr>
        <w:t> </w:t>
      </w:r>
      <w:r>
        <w:rPr/>
        <w:t>The system shall perform automated, full backups of all persistent data stores on a daily schedule,</w:t>
      </w:r>
      <w:r>
        <w:rPr>
          <w:spacing w:val="-4"/>
        </w:rPr>
        <w:t> </w:t>
      </w:r>
      <w:r>
        <w:rPr/>
        <w:t>without</w:t>
      </w:r>
      <w:r>
        <w:rPr>
          <w:spacing w:val="-3"/>
        </w:rPr>
        <w:t> </w:t>
      </w:r>
      <w:r>
        <w:rPr/>
        <w:t>requiring</w:t>
      </w:r>
      <w:r>
        <w:rPr>
          <w:spacing w:val="-2"/>
        </w:rPr>
        <w:t> </w:t>
      </w:r>
      <w:r>
        <w:rPr/>
        <w:t>manual</w:t>
      </w:r>
      <w:r>
        <w:rPr>
          <w:spacing w:val="-4"/>
        </w:rPr>
        <w:t> </w:t>
      </w:r>
      <w:r>
        <w:rPr/>
        <w:t>intervention.</w:t>
      </w:r>
      <w:r>
        <w:rPr>
          <w:spacing w:val="-5"/>
        </w:rPr>
        <w:t> </w:t>
      </w:r>
      <w:r>
        <w:rPr/>
        <w:t>Each</w:t>
      </w:r>
      <w:r>
        <w:rPr>
          <w:spacing w:val="-1"/>
        </w:rPr>
        <w:t> </w:t>
      </w:r>
      <w:r>
        <w:rPr/>
        <w:t>backup</w:t>
      </w:r>
      <w:r>
        <w:rPr>
          <w:spacing w:val="-1"/>
        </w:rPr>
        <w:t> </w:t>
      </w:r>
      <w:r>
        <w:rPr/>
        <w:t>artefact</w:t>
      </w:r>
      <w:r>
        <w:rPr>
          <w:spacing w:val="-3"/>
        </w:rPr>
        <w:t> </w:t>
      </w:r>
      <w:r>
        <w:rPr/>
        <w:t>shall</w:t>
      </w:r>
      <w:r>
        <w:rPr>
          <w:spacing w:val="-2"/>
        </w:rPr>
        <w:t> </w:t>
      </w:r>
      <w:r>
        <w:rPr/>
        <w:t>be</w:t>
      </w:r>
      <w:r>
        <w:rPr>
          <w:spacing w:val="-4"/>
        </w:rPr>
        <w:t> </w:t>
      </w:r>
      <w:r>
        <w:rPr/>
        <w:t>retained</w:t>
      </w:r>
      <w:r>
        <w:rPr>
          <w:spacing w:val="-3"/>
        </w:rPr>
        <w:t> </w:t>
      </w:r>
      <w:r>
        <w:rPr/>
        <w:t>in</w:t>
      </w:r>
      <w:r>
        <w:rPr>
          <w:spacing w:val="-3"/>
        </w:rPr>
        <w:t> </w:t>
      </w:r>
      <w:r>
        <w:rPr/>
        <w:t>secure</w:t>
      </w:r>
      <w:r>
        <w:rPr>
          <w:spacing w:val="-4"/>
        </w:rPr>
        <w:t> </w:t>
      </w:r>
      <w:r>
        <w:rPr/>
        <w:t>storage</w:t>
      </w:r>
      <w:r>
        <w:rPr>
          <w:spacing w:val="-3"/>
        </w:rPr>
        <w:t> </w:t>
      </w:r>
      <w:r>
        <w:rPr/>
        <w:t>for a minimum</w:t>
      </w:r>
      <w:r>
        <w:rPr>
          <w:spacing w:val="-4"/>
        </w:rPr>
        <w:t> </w:t>
      </w:r>
      <w:r>
        <w:rPr/>
        <w:t>period</w:t>
      </w:r>
      <w:r>
        <w:rPr>
          <w:spacing w:val="-1"/>
        </w:rPr>
        <w:t> </w:t>
      </w:r>
      <w:r>
        <w:rPr/>
        <w:t>of seven (7)</w:t>
      </w:r>
      <w:r>
        <w:rPr>
          <w:spacing w:val="-3"/>
        </w:rPr>
        <w:t> </w:t>
      </w:r>
      <w:r>
        <w:rPr/>
        <w:t>days, after</w:t>
      </w:r>
      <w:r>
        <w:rPr>
          <w:spacing w:val="-3"/>
        </w:rPr>
        <w:t> </w:t>
      </w:r>
      <w:r>
        <w:rPr/>
        <w:t>which</w:t>
      </w:r>
      <w:r>
        <w:rPr>
          <w:spacing w:val="-1"/>
        </w:rPr>
        <w:t> </w:t>
      </w:r>
      <w:r>
        <w:rPr/>
        <w:t>it may</w:t>
      </w:r>
      <w:r>
        <w:rPr>
          <w:spacing w:val="-2"/>
        </w:rPr>
        <w:t> </w:t>
      </w:r>
      <w:r>
        <w:rPr/>
        <w:t>be</w:t>
      </w:r>
      <w:r>
        <w:rPr>
          <w:spacing w:val="-1"/>
        </w:rPr>
        <w:t> </w:t>
      </w:r>
      <w:r>
        <w:rPr/>
        <w:t>purged.</w:t>
      </w:r>
      <w:r>
        <w:rPr>
          <w:spacing w:val="-2"/>
        </w:rPr>
        <w:t> </w:t>
      </w:r>
      <w:r>
        <w:rPr/>
        <w:t>The</w:t>
      </w:r>
      <w:r>
        <w:rPr>
          <w:spacing w:val="-2"/>
        </w:rPr>
        <w:t> </w:t>
      </w:r>
      <w:r>
        <w:rPr/>
        <w:t>backup mechanism</w:t>
      </w:r>
      <w:r>
        <w:rPr>
          <w:spacing w:val="-2"/>
        </w:rPr>
        <w:t> </w:t>
      </w:r>
      <w:r>
        <w:rPr/>
        <w:t>shall</w:t>
      </w:r>
      <w:r>
        <w:rPr>
          <w:spacing w:val="-4"/>
        </w:rPr>
        <w:t> </w:t>
      </w:r>
      <w:r>
        <w:rPr/>
        <w:t>be</w:t>
      </w:r>
      <w:r>
        <w:rPr>
          <w:spacing w:val="-1"/>
        </w:rPr>
        <w:t> </w:t>
      </w:r>
      <w:r>
        <w:rPr/>
        <w:t>verifiable and shall not impact system availability during execution.</w:t>
      </w:r>
    </w:p>
    <w:p>
      <w:pPr>
        <w:pStyle w:val="Heading2"/>
        <w:numPr>
          <w:ilvl w:val="1"/>
          <w:numId w:val="1"/>
        </w:numPr>
        <w:tabs>
          <w:tab w:pos="790" w:val="left" w:leader="none"/>
        </w:tabs>
        <w:spacing w:line="240" w:lineRule="auto" w:before="280" w:after="0"/>
        <w:ind w:left="790" w:right="0" w:hanging="480"/>
        <w:jc w:val="left"/>
        <w:rPr>
          <w:color w:val="ED0000"/>
        </w:rPr>
      </w:pPr>
      <w:r>
        <w:rPr>
          <w:color w:val="ED0000"/>
        </w:rPr>
        <w:t>Usability</w:t>
      </w:r>
      <w:r>
        <w:rPr>
          <w:color w:val="ED0000"/>
          <w:spacing w:val="-3"/>
        </w:rPr>
        <w:t> </w:t>
      </w:r>
      <w:r>
        <w:rPr>
          <w:color w:val="ED0000"/>
        </w:rPr>
        <w:t>&amp;</w:t>
      </w:r>
      <w:r>
        <w:rPr>
          <w:color w:val="ED0000"/>
          <w:spacing w:val="-4"/>
        </w:rPr>
        <w:t> </w:t>
      </w:r>
      <w:r>
        <w:rPr>
          <w:color w:val="ED0000"/>
        </w:rPr>
        <w:t>User</w:t>
      </w:r>
      <w:r>
        <w:rPr>
          <w:color w:val="ED0000"/>
          <w:spacing w:val="-3"/>
        </w:rPr>
        <w:t> </w:t>
      </w:r>
      <w:r>
        <w:rPr>
          <w:color w:val="ED0000"/>
          <w:spacing w:val="-2"/>
        </w:rPr>
        <w:t>Experience</w:t>
      </w:r>
    </w:p>
    <w:p>
      <w:pPr>
        <w:spacing w:before="160"/>
        <w:ind w:left="310" w:right="192" w:firstLine="0"/>
        <w:jc w:val="both"/>
        <w:rPr>
          <w:sz w:val="22"/>
        </w:rPr>
      </w:pPr>
      <w:r>
        <w:rPr>
          <w:sz w:val="22"/>
        </w:rPr>
        <w:t>The following requirements define the interaction efficiency and error communication standards that the system's user interface must satisfy.</w:t>
      </w:r>
    </w:p>
    <w:p>
      <w:pPr>
        <w:pStyle w:val="Heading4"/>
        <w:spacing w:before="221"/>
      </w:pPr>
      <w:r>
        <w:rPr>
          <w:color w:val="4471C4"/>
        </w:rPr>
        <w:t>NFR-USA-01</w:t>
      </w:r>
      <w:r>
        <w:rPr>
          <w:color w:val="4471C4"/>
          <w:spacing w:val="-3"/>
        </w:rPr>
        <w:t> </w:t>
      </w:r>
      <w:r>
        <w:rPr>
          <w:color w:val="4471C4"/>
        </w:rPr>
        <w:t>—</w:t>
      </w:r>
      <w:r>
        <w:rPr>
          <w:color w:val="4471C4"/>
          <w:spacing w:val="-4"/>
        </w:rPr>
        <w:t> </w:t>
      </w:r>
      <w:r>
        <w:rPr>
          <w:color w:val="4471C4"/>
        </w:rPr>
        <w:t>Interaction</w:t>
      </w:r>
      <w:r>
        <w:rPr>
          <w:color w:val="4471C4"/>
          <w:spacing w:val="-1"/>
        </w:rPr>
        <w:t> </w:t>
      </w:r>
      <w:r>
        <w:rPr>
          <w:color w:val="4471C4"/>
          <w:spacing w:val="-2"/>
        </w:rPr>
        <w:t>Efficiency</w:t>
      </w:r>
    </w:p>
    <w:p>
      <w:pPr>
        <w:pStyle w:val="BodyText"/>
        <w:ind w:right="190"/>
      </w:pPr>
      <w:r>
        <w:rPr>
          <w:b/>
          <w:color w:val="2D5FA2"/>
        </w:rPr>
        <w:t>NFR-USA-01:</w:t>
      </w:r>
      <w:r>
        <w:rPr>
          <w:b/>
          <w:color w:val="2D5FA2"/>
          <w:spacing w:val="40"/>
        </w:rPr>
        <w:t> </w:t>
      </w:r>
      <w:r>
        <w:rPr/>
        <w:t>The user interface shall be designed such that a Trip Member with basic digital literacy is able to</w:t>
      </w:r>
      <w:r>
        <w:rPr>
          <w:spacing w:val="-3"/>
        </w:rPr>
        <w:t> </w:t>
      </w:r>
      <w:r>
        <w:rPr/>
        <w:t>complete</w:t>
      </w:r>
      <w:r>
        <w:rPr>
          <w:spacing w:val="-4"/>
        </w:rPr>
        <w:t> </w:t>
      </w:r>
      <w:r>
        <w:rPr/>
        <w:t>any</w:t>
      </w:r>
      <w:r>
        <w:rPr>
          <w:spacing w:val="-5"/>
        </w:rPr>
        <w:t> </w:t>
      </w:r>
      <w:r>
        <w:rPr/>
        <w:t>core,</w:t>
      </w:r>
      <w:r>
        <w:rPr>
          <w:spacing w:val="-4"/>
        </w:rPr>
        <w:t> </w:t>
      </w:r>
      <w:r>
        <w:rPr/>
        <w:t>repetitive</w:t>
      </w:r>
      <w:r>
        <w:rPr>
          <w:spacing w:val="-6"/>
        </w:rPr>
        <w:t> </w:t>
      </w:r>
      <w:r>
        <w:rPr/>
        <w:t>task</w:t>
      </w:r>
      <w:r>
        <w:rPr>
          <w:spacing w:val="-3"/>
        </w:rPr>
        <w:t> </w:t>
      </w:r>
      <w:r>
        <w:rPr/>
        <w:t>—</w:t>
      </w:r>
      <w:r>
        <w:rPr>
          <w:spacing w:val="-3"/>
        </w:rPr>
        <w:t> </w:t>
      </w:r>
      <w:r>
        <w:rPr/>
        <w:t>including,</w:t>
      </w:r>
      <w:r>
        <w:rPr>
          <w:spacing w:val="-4"/>
        </w:rPr>
        <w:t> </w:t>
      </w:r>
      <w:r>
        <w:rPr/>
        <w:t>but</w:t>
      </w:r>
      <w:r>
        <w:rPr>
          <w:spacing w:val="-3"/>
        </w:rPr>
        <w:t> </w:t>
      </w:r>
      <w:r>
        <w:rPr/>
        <w:t>not</w:t>
      </w:r>
      <w:r>
        <w:rPr>
          <w:spacing w:val="-2"/>
        </w:rPr>
        <w:t> </w:t>
      </w:r>
      <w:r>
        <w:rPr/>
        <w:t>limited</w:t>
      </w:r>
      <w:r>
        <w:rPr>
          <w:spacing w:val="-3"/>
        </w:rPr>
        <w:t> </w:t>
      </w:r>
      <w:r>
        <w:rPr/>
        <w:t>to,</w:t>
      </w:r>
      <w:r>
        <w:rPr>
          <w:spacing w:val="-3"/>
        </w:rPr>
        <w:t> </w:t>
      </w:r>
      <w:r>
        <w:rPr/>
        <w:t>submitting</w:t>
      </w:r>
      <w:r>
        <w:rPr>
          <w:spacing w:val="-4"/>
        </w:rPr>
        <w:t> </w:t>
      </w:r>
      <w:r>
        <w:rPr/>
        <w:t>an</w:t>
      </w:r>
      <w:r>
        <w:rPr>
          <w:spacing w:val="-5"/>
        </w:rPr>
        <w:t> </w:t>
      </w:r>
      <w:r>
        <w:rPr/>
        <w:t>activity</w:t>
      </w:r>
      <w:r>
        <w:rPr>
          <w:spacing w:val="-5"/>
        </w:rPr>
        <w:t> </w:t>
      </w:r>
      <w:r>
        <w:rPr/>
        <w:t>RSVP</w:t>
      </w:r>
      <w:r>
        <w:rPr>
          <w:spacing w:val="-8"/>
        </w:rPr>
        <w:t> </w:t>
      </w:r>
      <w:r>
        <w:rPr/>
        <w:t>or</w:t>
      </w:r>
      <w:r>
        <w:rPr>
          <w:spacing w:val="-3"/>
        </w:rPr>
        <w:t> </w:t>
      </w:r>
      <w:r>
        <w:rPr/>
        <w:t>recording a shared expense — within a</w:t>
      </w:r>
      <w:r>
        <w:rPr>
          <w:spacing w:val="-2"/>
        </w:rPr>
        <w:t> </w:t>
      </w:r>
      <w:r>
        <w:rPr/>
        <w:t>maximum</w:t>
      </w:r>
      <w:r>
        <w:rPr>
          <w:spacing w:val="-2"/>
        </w:rPr>
        <w:t> </w:t>
      </w:r>
      <w:r>
        <w:rPr/>
        <w:t>of five (5) discrete</w:t>
      </w:r>
      <w:r>
        <w:rPr>
          <w:spacing w:val="-1"/>
        </w:rPr>
        <w:t> </w:t>
      </w:r>
      <w:r>
        <w:rPr/>
        <w:t>user interactions (clicks or taps) from</w:t>
      </w:r>
      <w:r>
        <w:rPr>
          <w:spacing w:val="-2"/>
        </w:rPr>
        <w:t> </w:t>
      </w:r>
      <w:r>
        <w:rPr/>
        <w:t>the relevant entry point. No such task shall require fewer than three (3) interactions in order to prevent accidental </w:t>
      </w:r>
      <w:r>
        <w:rPr>
          <w:spacing w:val="-2"/>
        </w:rPr>
        <w:t>submissions.</w:t>
      </w:r>
    </w:p>
    <w:p>
      <w:pPr>
        <w:pStyle w:val="Heading4"/>
        <w:spacing w:before="221"/>
      </w:pPr>
      <w:r>
        <w:rPr>
          <w:color w:val="4471C4"/>
        </w:rPr>
        <w:t>NFR-USA-02</w:t>
      </w:r>
      <w:r>
        <w:rPr>
          <w:color w:val="4471C4"/>
          <w:spacing w:val="-3"/>
        </w:rPr>
        <w:t> </w:t>
      </w:r>
      <w:r>
        <w:rPr>
          <w:color w:val="4471C4"/>
        </w:rPr>
        <w:t>—</w:t>
      </w:r>
      <w:r>
        <w:rPr>
          <w:color w:val="4471C4"/>
          <w:spacing w:val="-3"/>
        </w:rPr>
        <w:t> </w:t>
      </w:r>
      <w:r>
        <w:rPr>
          <w:color w:val="4471C4"/>
        </w:rPr>
        <w:t>Graceful</w:t>
      </w:r>
      <w:r>
        <w:rPr>
          <w:color w:val="4471C4"/>
          <w:spacing w:val="-3"/>
        </w:rPr>
        <w:t> </w:t>
      </w:r>
      <w:r>
        <w:rPr>
          <w:color w:val="4471C4"/>
        </w:rPr>
        <w:t>Error</w:t>
      </w:r>
      <w:r>
        <w:rPr>
          <w:color w:val="4471C4"/>
          <w:spacing w:val="-1"/>
        </w:rPr>
        <w:t> </w:t>
      </w:r>
      <w:r>
        <w:rPr>
          <w:color w:val="4471C4"/>
          <w:spacing w:val="-2"/>
        </w:rPr>
        <w:t>Communication</w:t>
      </w:r>
    </w:p>
    <w:p>
      <w:pPr>
        <w:pStyle w:val="BodyText"/>
        <w:spacing w:before="119"/>
        <w:ind w:right="186"/>
      </w:pPr>
      <w:r>
        <w:rPr>
          <w:b/>
          <w:color w:val="2D5FA2"/>
        </w:rPr>
        <w:t>NFR-USA-02:</w:t>
      </w:r>
      <w:r>
        <w:rPr>
          <w:b/>
          <w:color w:val="2D5FA2"/>
          <w:spacing w:val="40"/>
        </w:rPr>
        <w:t> </w:t>
      </w:r>
      <w:r>
        <w:rPr/>
        <w:t>In the event of any network failure, server-side processing error, or validation rejection, the system shall present the end-user with a clear, localised, and human-readable error message appropriate to the context of the failure. The system shall, under no circumstances, expose raw technical information — including stack traces, internal exception messages, database query errors, or server-side file paths — to</w:t>
      </w:r>
      <w:r>
        <w:rPr>
          <w:spacing w:val="-1"/>
        </w:rPr>
        <w:t> </w:t>
      </w:r>
      <w:r>
        <w:rPr/>
        <w:t>the end-user interface.</w:t>
      </w:r>
    </w:p>
    <w:p>
      <w:pPr>
        <w:pStyle w:val="Heading2"/>
        <w:numPr>
          <w:ilvl w:val="1"/>
          <w:numId w:val="1"/>
        </w:numPr>
        <w:tabs>
          <w:tab w:pos="790" w:val="left" w:leader="none"/>
        </w:tabs>
        <w:spacing w:line="240" w:lineRule="auto" w:before="281" w:after="0"/>
        <w:ind w:left="790" w:right="0" w:hanging="480"/>
        <w:jc w:val="left"/>
        <w:rPr>
          <w:color w:val="ED0000"/>
        </w:rPr>
      </w:pPr>
      <w:r>
        <w:rPr>
          <w:color w:val="ED0000"/>
        </w:rPr>
        <w:t>Scalability</w:t>
      </w:r>
      <w:r>
        <w:rPr>
          <w:color w:val="ED0000"/>
          <w:spacing w:val="-3"/>
        </w:rPr>
        <w:t> </w:t>
      </w:r>
      <w:r>
        <w:rPr>
          <w:color w:val="ED0000"/>
        </w:rPr>
        <w:t>&amp;</w:t>
      </w:r>
      <w:r>
        <w:rPr>
          <w:color w:val="ED0000"/>
          <w:spacing w:val="-3"/>
        </w:rPr>
        <w:t> </w:t>
      </w:r>
      <w:r>
        <w:rPr>
          <w:color w:val="ED0000"/>
          <w:spacing w:val="-2"/>
        </w:rPr>
        <w:t>Maintainability</w:t>
      </w:r>
    </w:p>
    <w:p>
      <w:pPr>
        <w:spacing w:before="159"/>
        <w:ind w:left="310" w:right="190" w:firstLine="0"/>
        <w:jc w:val="both"/>
        <w:rPr>
          <w:sz w:val="22"/>
        </w:rPr>
      </w:pPr>
      <w:r>
        <w:rPr>
          <w:sz w:val="22"/>
        </w:rPr>
        <w:t>The following requirements define the structural and operational quality attributes that ensure the system remains adaptable, auditable, and performant as scope and user-base grow.</w:t>
      </w:r>
    </w:p>
    <w:p>
      <w:pPr>
        <w:pStyle w:val="Heading4"/>
        <w:spacing w:before="222"/>
      </w:pPr>
      <w:r>
        <w:rPr>
          <w:color w:val="4471C4"/>
        </w:rPr>
        <w:t>NFR-SCA-01</w:t>
      </w:r>
      <w:r>
        <w:rPr>
          <w:color w:val="4471C4"/>
          <w:spacing w:val="-2"/>
        </w:rPr>
        <w:t> </w:t>
      </w:r>
      <w:r>
        <w:rPr>
          <w:color w:val="4471C4"/>
        </w:rPr>
        <w:t>—</w:t>
      </w:r>
      <w:r>
        <w:rPr>
          <w:color w:val="4471C4"/>
          <w:spacing w:val="-2"/>
        </w:rPr>
        <w:t> </w:t>
      </w:r>
      <w:r>
        <w:rPr>
          <w:color w:val="4471C4"/>
        </w:rPr>
        <w:t>Modular</w:t>
      </w:r>
      <w:r>
        <w:rPr>
          <w:color w:val="4471C4"/>
          <w:spacing w:val="-3"/>
        </w:rPr>
        <w:t> </w:t>
      </w:r>
      <w:r>
        <w:rPr>
          <w:color w:val="4471C4"/>
        </w:rPr>
        <w:t>Domain</w:t>
      </w:r>
      <w:r>
        <w:rPr>
          <w:color w:val="4471C4"/>
          <w:spacing w:val="-1"/>
        </w:rPr>
        <w:t> </w:t>
      </w:r>
      <w:r>
        <w:rPr>
          <w:color w:val="4471C4"/>
          <w:spacing w:val="-2"/>
        </w:rPr>
        <w:t>Separation</w:t>
      </w:r>
    </w:p>
    <w:p>
      <w:pPr>
        <w:pStyle w:val="BodyText"/>
        <w:spacing w:before="117"/>
        <w:ind w:right="192"/>
      </w:pPr>
      <w:r>
        <w:rPr>
          <w:b/>
          <w:color w:val="2D5FA2"/>
        </w:rPr>
        <w:t>NFR-SCA-01:</w:t>
      </w:r>
      <w:r>
        <w:rPr>
          <w:b/>
          <w:color w:val="2D5FA2"/>
          <w:spacing w:val="40"/>
        </w:rPr>
        <w:t> </w:t>
      </w:r>
      <w:r>
        <w:rPr/>
        <w:t>The system architecture shall enforce strict logical separation between each core business domain — including, but not limited to, User Management, Itinerary &amp; Logistics, Financial Settlement, Collaboration,</w:t>
      </w:r>
      <w:r>
        <w:rPr>
          <w:spacing w:val="-3"/>
        </w:rPr>
        <w:t> </w:t>
      </w:r>
      <w:r>
        <w:rPr/>
        <w:t>and</w:t>
      </w:r>
      <w:r>
        <w:rPr>
          <w:spacing w:val="-4"/>
        </w:rPr>
        <w:t> </w:t>
      </w:r>
      <w:r>
        <w:rPr/>
        <w:t>Document</w:t>
      </w:r>
      <w:r>
        <w:rPr>
          <w:spacing w:val="-2"/>
        </w:rPr>
        <w:t> </w:t>
      </w:r>
      <w:r>
        <w:rPr/>
        <w:t>&amp;</w:t>
      </w:r>
      <w:r>
        <w:rPr>
          <w:spacing w:val="-3"/>
        </w:rPr>
        <w:t> </w:t>
      </w:r>
      <w:r>
        <w:rPr/>
        <w:t>Safety</w:t>
      </w:r>
      <w:r>
        <w:rPr>
          <w:spacing w:val="-3"/>
        </w:rPr>
        <w:t> </w:t>
      </w:r>
      <w:r>
        <w:rPr/>
        <w:t>Management.</w:t>
      </w:r>
      <w:r>
        <w:rPr>
          <w:spacing w:val="-3"/>
        </w:rPr>
        <w:t> </w:t>
      </w:r>
      <w:r>
        <w:rPr/>
        <w:t>Inter-domain</w:t>
      </w:r>
      <w:r>
        <w:rPr>
          <w:spacing w:val="-2"/>
        </w:rPr>
        <w:t> </w:t>
      </w:r>
      <w:r>
        <w:rPr/>
        <w:t>dependencies</w:t>
      </w:r>
      <w:r>
        <w:rPr>
          <w:spacing w:val="-3"/>
        </w:rPr>
        <w:t> </w:t>
      </w:r>
      <w:r>
        <w:rPr/>
        <w:t>shall</w:t>
      </w:r>
      <w:r>
        <w:rPr>
          <w:spacing w:val="-5"/>
        </w:rPr>
        <w:t> </w:t>
      </w:r>
      <w:r>
        <w:rPr/>
        <w:t>be</w:t>
      </w:r>
      <w:r>
        <w:rPr>
          <w:spacing w:val="-2"/>
        </w:rPr>
        <w:t> </w:t>
      </w:r>
      <w:r>
        <w:rPr/>
        <w:t>expressed</w:t>
      </w:r>
      <w:r>
        <w:rPr>
          <w:spacing w:val="-1"/>
        </w:rPr>
        <w:t> </w:t>
      </w:r>
      <w:r>
        <w:rPr/>
        <w:t>through well-defined interfaces or service boundaries, such that the modification or future extraction of any single domain does not necessitate changes to unrelated domains.</w:t>
      </w:r>
    </w:p>
    <w:p>
      <w:pPr>
        <w:pStyle w:val="Heading4"/>
      </w:pPr>
      <w:r>
        <w:rPr>
          <w:color w:val="4471C4"/>
        </w:rPr>
        <w:t>NFR-SCA-02</w:t>
      </w:r>
      <w:r>
        <w:rPr>
          <w:color w:val="4471C4"/>
          <w:spacing w:val="-2"/>
        </w:rPr>
        <w:t> </w:t>
      </w:r>
      <w:r>
        <w:rPr>
          <w:color w:val="4471C4"/>
        </w:rPr>
        <w:t>—</w:t>
      </w:r>
      <w:r>
        <w:rPr>
          <w:color w:val="4471C4"/>
          <w:spacing w:val="-3"/>
        </w:rPr>
        <w:t> </w:t>
      </w:r>
      <w:r>
        <w:rPr>
          <w:color w:val="4471C4"/>
        </w:rPr>
        <w:t>Asynchronous</w:t>
      </w:r>
      <w:r>
        <w:rPr>
          <w:color w:val="4471C4"/>
          <w:spacing w:val="-4"/>
        </w:rPr>
        <w:t> </w:t>
      </w:r>
      <w:r>
        <w:rPr>
          <w:color w:val="4471C4"/>
        </w:rPr>
        <w:t>Non-Critical</w:t>
      </w:r>
      <w:r>
        <w:rPr>
          <w:color w:val="4471C4"/>
          <w:spacing w:val="-4"/>
        </w:rPr>
        <w:t> </w:t>
      </w:r>
      <w:r>
        <w:rPr>
          <w:color w:val="4471C4"/>
          <w:spacing w:val="-2"/>
        </w:rPr>
        <w:t>Operations</w:t>
      </w:r>
    </w:p>
    <w:p>
      <w:pPr>
        <w:pStyle w:val="BodyText"/>
        <w:ind w:right="187"/>
      </w:pPr>
      <w:r>
        <w:rPr>
          <w:b/>
          <w:color w:val="2D5FA2"/>
        </w:rPr>
        <w:t>NFR-SCA-02:</w:t>
      </w:r>
      <w:r>
        <w:rPr>
          <w:b/>
          <w:color w:val="2D5FA2"/>
          <w:spacing w:val="40"/>
        </w:rPr>
        <w:t> </w:t>
      </w:r>
      <w:r>
        <w:rPr/>
        <w:t>All system operations that are characterised by high latency or that are non-critical to the immediate completion of the originating</w:t>
      </w:r>
      <w:r>
        <w:rPr>
          <w:spacing w:val="-1"/>
        </w:rPr>
        <w:t> </w:t>
      </w:r>
      <w:r>
        <w:rPr/>
        <w:t>user request — including,</w:t>
      </w:r>
      <w:r>
        <w:rPr>
          <w:spacing w:val="-3"/>
        </w:rPr>
        <w:t> </w:t>
      </w:r>
      <w:r>
        <w:rPr/>
        <w:t>but not limited</w:t>
      </w:r>
      <w:r>
        <w:rPr>
          <w:spacing w:val="-1"/>
        </w:rPr>
        <w:t> </w:t>
      </w:r>
      <w:r>
        <w:rPr/>
        <w:t>to, generating</w:t>
      </w:r>
      <w:r>
        <w:rPr>
          <w:spacing w:val="-1"/>
        </w:rPr>
        <w:t> </w:t>
      </w:r>
      <w:r>
        <w:rPr/>
        <w:t>automated daily</w:t>
      </w:r>
      <w:r>
        <w:rPr>
          <w:spacing w:val="-14"/>
        </w:rPr>
        <w:t> </w:t>
      </w:r>
      <w:r>
        <w:rPr/>
        <w:t>briefing</w:t>
      </w:r>
      <w:r>
        <w:rPr>
          <w:spacing w:val="-14"/>
        </w:rPr>
        <w:t> </w:t>
      </w:r>
      <w:r>
        <w:rPr/>
        <w:t>notifications</w:t>
      </w:r>
      <w:r>
        <w:rPr>
          <w:spacing w:val="-13"/>
        </w:rPr>
        <w:t> </w:t>
      </w:r>
      <w:r>
        <w:rPr/>
        <w:t>and</w:t>
      </w:r>
      <w:r>
        <w:rPr>
          <w:spacing w:val="-14"/>
        </w:rPr>
        <w:t> </w:t>
      </w:r>
      <w:r>
        <w:rPr/>
        <w:t>dispatching</w:t>
      </w:r>
      <w:r>
        <w:rPr>
          <w:spacing w:val="-13"/>
        </w:rPr>
        <w:t> </w:t>
      </w:r>
      <w:r>
        <w:rPr/>
        <w:t>outbound</w:t>
      </w:r>
      <w:r>
        <w:rPr>
          <w:spacing w:val="-14"/>
        </w:rPr>
        <w:t> </w:t>
      </w:r>
      <w:r>
        <w:rPr/>
        <w:t>email</w:t>
      </w:r>
      <w:r>
        <w:rPr>
          <w:spacing w:val="-13"/>
        </w:rPr>
        <w:t> </w:t>
      </w:r>
      <w:r>
        <w:rPr/>
        <w:t>or</w:t>
      </w:r>
      <w:r>
        <w:rPr>
          <w:spacing w:val="-14"/>
        </w:rPr>
        <w:t> </w:t>
      </w:r>
      <w:r>
        <w:rPr/>
        <w:t>push</w:t>
      </w:r>
      <w:r>
        <w:rPr>
          <w:spacing w:val="-14"/>
        </w:rPr>
        <w:t> </w:t>
      </w:r>
      <w:r>
        <w:rPr/>
        <w:t>alerts</w:t>
      </w:r>
      <w:r>
        <w:rPr>
          <w:spacing w:val="-13"/>
        </w:rPr>
        <w:t> </w:t>
      </w:r>
      <w:r>
        <w:rPr/>
        <w:t>—</w:t>
      </w:r>
      <w:r>
        <w:rPr>
          <w:spacing w:val="-14"/>
        </w:rPr>
        <w:t> </w:t>
      </w:r>
      <w:r>
        <w:rPr/>
        <w:t>shall</w:t>
      </w:r>
      <w:r>
        <w:rPr>
          <w:spacing w:val="-13"/>
        </w:rPr>
        <w:t> </w:t>
      </w:r>
      <w:r>
        <w:rPr/>
        <w:t>be</w:t>
      </w:r>
      <w:r>
        <w:rPr>
          <w:spacing w:val="-14"/>
        </w:rPr>
        <w:t> </w:t>
      </w:r>
      <w:r>
        <w:rPr/>
        <w:t>executed</w:t>
      </w:r>
      <w:r>
        <w:rPr>
          <w:spacing w:val="-13"/>
        </w:rPr>
        <w:t> </w:t>
      </w:r>
      <w:r>
        <w:rPr/>
        <w:t>asynchronously. Such operations must not block the primary synchronous request-response lifecycle or delay the delivery of the HTTP response to the client.</w:t>
      </w:r>
    </w:p>
    <w:p>
      <w:pPr>
        <w:pStyle w:val="Heading4"/>
        <w:spacing w:before="221"/>
      </w:pPr>
      <w:r>
        <w:rPr>
          <w:color w:val="4471C4"/>
        </w:rPr>
        <w:t>NFR-SCA-03</w:t>
      </w:r>
      <w:r>
        <w:rPr>
          <w:color w:val="4471C4"/>
          <w:spacing w:val="-2"/>
        </w:rPr>
        <w:t> </w:t>
      </w:r>
      <w:r>
        <w:rPr>
          <w:color w:val="4471C4"/>
        </w:rPr>
        <w:t>—</w:t>
      </w:r>
      <w:r>
        <w:rPr>
          <w:color w:val="4471C4"/>
          <w:spacing w:val="-3"/>
        </w:rPr>
        <w:t> </w:t>
      </w:r>
      <w:r>
        <w:rPr>
          <w:color w:val="4471C4"/>
        </w:rPr>
        <w:t>Audit</w:t>
      </w:r>
      <w:r>
        <w:rPr>
          <w:color w:val="4471C4"/>
          <w:spacing w:val="-1"/>
        </w:rPr>
        <w:t> </w:t>
      </w:r>
      <w:r>
        <w:rPr>
          <w:color w:val="4471C4"/>
          <w:spacing w:val="-2"/>
        </w:rPr>
        <w:t>Logging</w:t>
      </w:r>
    </w:p>
    <w:p>
      <w:pPr>
        <w:pStyle w:val="BodyText"/>
        <w:spacing w:before="122"/>
        <w:ind w:right="185"/>
      </w:pPr>
      <w:r>
        <w:rPr>
          <w:b/>
          <w:color w:val="2D5FA2"/>
        </w:rPr>
        <w:t>NFR-SCA-03:</w:t>
      </w:r>
      <w:r>
        <w:rPr>
          <w:b/>
          <w:color w:val="2D5FA2"/>
          <w:spacing w:val="40"/>
        </w:rPr>
        <w:t> </w:t>
      </w:r>
      <w:r>
        <w:rPr/>
        <w:t>The system shall automatically generate a structured, tamper-evident audit log entry for every critical state-changing operation performed within the system. Such operations include, but are not limited to, financial settlement submissions, expense modifications, role-delegation changes, and document access events. Each log entry shall record, at minimum: a precise UTC timestamp, the unique identifier of the authenticated principal performing the action, the type of operation performed, and the identity of the affected resource.</w:t>
      </w:r>
    </w:p>
    <w:sectPr>
      <w:pgSz w:w="11910" w:h="16840"/>
      <w:pgMar w:header="74" w:footer="71" w:top="260" w:bottom="260" w:left="141"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445504">
              <wp:simplePos x="0" y="0"/>
              <wp:positionH relativeFrom="page">
                <wp:posOffset>268224</wp:posOffset>
              </wp:positionH>
              <wp:positionV relativeFrom="page">
                <wp:posOffset>10520171</wp:posOffset>
              </wp:positionV>
              <wp:extent cx="7010400" cy="317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010400" cy="3175"/>
                      </a:xfrm>
                      <a:custGeom>
                        <a:avLst/>
                        <a:gdLst/>
                        <a:ahLst/>
                        <a:cxnLst/>
                        <a:rect l="l" t="t" r="r" b="b"/>
                        <a:pathLst>
                          <a:path w="7010400" h="3175">
                            <a:moveTo>
                              <a:pt x="7010400" y="0"/>
                            </a:moveTo>
                            <a:lnTo>
                              <a:pt x="0" y="0"/>
                            </a:lnTo>
                            <a:lnTo>
                              <a:pt x="0" y="3048"/>
                            </a:lnTo>
                            <a:lnTo>
                              <a:pt x="7010400" y="3048"/>
                            </a:lnTo>
                            <a:lnTo>
                              <a:pt x="70104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21.120001pt;margin-top:828.359924pt;width:552pt;height:.24005pt;mso-position-horizontal-relative:page;mso-position-vertical-relative:page;z-index:-15870976" id="docshape2" filled="true" fillcolor="#cccccc" stroked="false">
              <v:fill type="solid"/>
              <w10:wrap type="none"/>
            </v:rect>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444992">
              <wp:simplePos x="0" y="0"/>
              <wp:positionH relativeFrom="page">
                <wp:posOffset>268224</wp:posOffset>
              </wp:positionH>
              <wp:positionV relativeFrom="page">
                <wp:posOffset>170687</wp:posOffset>
              </wp:positionV>
              <wp:extent cx="7010400" cy="31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010400" cy="3175"/>
                      </a:xfrm>
                      <a:custGeom>
                        <a:avLst/>
                        <a:gdLst/>
                        <a:ahLst/>
                        <a:cxnLst/>
                        <a:rect l="l" t="t" r="r" b="b"/>
                        <a:pathLst>
                          <a:path w="7010400" h="3175">
                            <a:moveTo>
                              <a:pt x="7010400" y="0"/>
                            </a:moveTo>
                            <a:lnTo>
                              <a:pt x="0" y="0"/>
                            </a:lnTo>
                            <a:lnTo>
                              <a:pt x="0" y="3048"/>
                            </a:lnTo>
                            <a:lnTo>
                              <a:pt x="7010400" y="3048"/>
                            </a:lnTo>
                            <a:lnTo>
                              <a:pt x="70104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21.120001pt;margin-top:13.439983pt;width:552pt;height:.24pt;mso-position-horizontal-relative:page;mso-position-vertical-relative:page;z-index:-15871488" id="docshape1" filled="true" fillcolor="#cccccc" stroked="false">
              <v:fill type="solid"/>
              <w10:wrap type="none"/>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3"/>
      <w:numFmt w:val="decimal"/>
      <w:lvlText w:val="%1."/>
      <w:lvlJc w:val="left"/>
      <w:pPr>
        <w:ind w:left="677" w:hanging="396"/>
        <w:jc w:val="left"/>
      </w:pPr>
      <w:rPr>
        <w:rFonts w:hint="default" w:ascii="Calibri" w:hAnsi="Calibri" w:eastAsia="Calibri" w:cs="Calibri"/>
        <w:b/>
        <w:bCs/>
        <w:i w:val="0"/>
        <w:iCs w:val="0"/>
        <w:color w:val="ED0000"/>
        <w:spacing w:val="-1"/>
        <w:w w:val="91"/>
        <w:sz w:val="30"/>
        <w:szCs w:val="30"/>
        <w:u w:val="single" w:color="4471C4"/>
        <w:lang w:val="en-US" w:eastAsia="en-US" w:bidi="ar-SA"/>
      </w:rPr>
    </w:lvl>
    <w:lvl w:ilvl="1">
      <w:start w:val="0"/>
      <w:numFmt w:val="decimal"/>
      <w:lvlText w:val="%1.%2"/>
      <w:lvlJc w:val="left"/>
      <w:pPr>
        <w:ind w:left="758" w:hanging="449"/>
        <w:jc w:val="left"/>
      </w:pPr>
      <w:rPr>
        <w:rFonts w:hint="default"/>
        <w:spacing w:val="-1"/>
        <w:w w:val="99"/>
        <w:lang w:val="en-US" w:eastAsia="en-US" w:bidi="ar-SA"/>
      </w:rPr>
    </w:lvl>
    <w:lvl w:ilvl="2">
      <w:start w:val="0"/>
      <w:numFmt w:val="bullet"/>
      <w:lvlText w:val="•"/>
      <w:lvlJc w:val="left"/>
      <w:pPr>
        <w:ind w:left="1951" w:hanging="449"/>
      </w:pPr>
      <w:rPr>
        <w:rFonts w:hint="default"/>
        <w:lang w:val="en-US" w:eastAsia="en-US" w:bidi="ar-SA"/>
      </w:rPr>
    </w:lvl>
    <w:lvl w:ilvl="3">
      <w:start w:val="0"/>
      <w:numFmt w:val="bullet"/>
      <w:lvlText w:val="•"/>
      <w:lvlJc w:val="left"/>
      <w:pPr>
        <w:ind w:left="3142" w:hanging="449"/>
      </w:pPr>
      <w:rPr>
        <w:rFonts w:hint="default"/>
        <w:lang w:val="en-US" w:eastAsia="en-US" w:bidi="ar-SA"/>
      </w:rPr>
    </w:lvl>
    <w:lvl w:ilvl="4">
      <w:start w:val="0"/>
      <w:numFmt w:val="bullet"/>
      <w:lvlText w:val="•"/>
      <w:lvlJc w:val="left"/>
      <w:pPr>
        <w:ind w:left="4334" w:hanging="449"/>
      </w:pPr>
      <w:rPr>
        <w:rFonts w:hint="default"/>
        <w:lang w:val="en-US" w:eastAsia="en-US" w:bidi="ar-SA"/>
      </w:rPr>
    </w:lvl>
    <w:lvl w:ilvl="5">
      <w:start w:val="0"/>
      <w:numFmt w:val="bullet"/>
      <w:lvlText w:val="•"/>
      <w:lvlJc w:val="left"/>
      <w:pPr>
        <w:ind w:left="5525" w:hanging="449"/>
      </w:pPr>
      <w:rPr>
        <w:rFonts w:hint="default"/>
        <w:lang w:val="en-US" w:eastAsia="en-US" w:bidi="ar-SA"/>
      </w:rPr>
    </w:lvl>
    <w:lvl w:ilvl="6">
      <w:start w:val="0"/>
      <w:numFmt w:val="bullet"/>
      <w:lvlText w:val="•"/>
      <w:lvlJc w:val="left"/>
      <w:pPr>
        <w:ind w:left="6716" w:hanging="449"/>
      </w:pPr>
      <w:rPr>
        <w:rFonts w:hint="default"/>
        <w:lang w:val="en-US" w:eastAsia="en-US" w:bidi="ar-SA"/>
      </w:rPr>
    </w:lvl>
    <w:lvl w:ilvl="7">
      <w:start w:val="0"/>
      <w:numFmt w:val="bullet"/>
      <w:lvlText w:val="•"/>
      <w:lvlJc w:val="left"/>
      <w:pPr>
        <w:ind w:left="7908" w:hanging="449"/>
      </w:pPr>
      <w:rPr>
        <w:rFonts w:hint="default"/>
        <w:lang w:val="en-US" w:eastAsia="en-US" w:bidi="ar-SA"/>
      </w:rPr>
    </w:lvl>
    <w:lvl w:ilvl="8">
      <w:start w:val="0"/>
      <w:numFmt w:val="bullet"/>
      <w:lvlText w:val="•"/>
      <w:lvlJc w:val="left"/>
      <w:pPr>
        <w:ind w:left="9099" w:hanging="44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20"/>
      <w:ind w:left="670"/>
      <w:jc w:val="both"/>
    </w:pPr>
    <w:rPr>
      <w:rFonts w:ascii="Calibri" w:hAnsi="Calibri" w:eastAsia="Calibri" w:cs="Calibri"/>
      <w:sz w:val="24"/>
      <w:szCs w:val="24"/>
      <w:lang w:val="en-US" w:eastAsia="en-US" w:bidi="ar-SA"/>
    </w:rPr>
  </w:style>
  <w:style w:styleId="Heading1" w:type="paragraph">
    <w:name w:val="Heading 1"/>
    <w:basedOn w:val="Normal"/>
    <w:uiPriority w:val="1"/>
    <w:qFormat/>
    <w:pPr>
      <w:spacing w:before="1"/>
      <w:ind w:left="512" w:hanging="231"/>
      <w:outlineLvl w:val="1"/>
    </w:pPr>
    <w:rPr>
      <w:rFonts w:ascii="Calibri" w:hAnsi="Calibri" w:eastAsia="Calibri" w:cs="Calibri"/>
      <w:b/>
      <w:bCs/>
      <w:sz w:val="30"/>
      <w:szCs w:val="30"/>
      <w:u w:val="single" w:color="000000"/>
      <w:lang w:val="en-US" w:eastAsia="en-US" w:bidi="ar-SA"/>
    </w:rPr>
  </w:style>
  <w:style w:styleId="Heading2" w:type="paragraph">
    <w:name w:val="Heading 2"/>
    <w:basedOn w:val="Normal"/>
    <w:uiPriority w:val="1"/>
    <w:qFormat/>
    <w:pPr>
      <w:spacing w:before="280"/>
      <w:ind w:left="790" w:hanging="480"/>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756" w:hanging="446"/>
      <w:outlineLvl w:val="3"/>
    </w:pPr>
    <w:rPr>
      <w:rFonts w:ascii="Calibri" w:hAnsi="Calibri" w:eastAsia="Calibri" w:cs="Calibri"/>
      <w:b/>
      <w:bCs/>
      <w:sz w:val="26"/>
      <w:szCs w:val="26"/>
      <w:lang w:val="en-US" w:eastAsia="en-US" w:bidi="ar-SA"/>
    </w:rPr>
  </w:style>
  <w:style w:styleId="Heading4" w:type="paragraph">
    <w:name w:val="Heading 4"/>
    <w:basedOn w:val="Normal"/>
    <w:uiPriority w:val="1"/>
    <w:qFormat/>
    <w:pPr>
      <w:spacing w:before="220"/>
      <w:ind w:left="310"/>
      <w:jc w:val="both"/>
      <w:outlineLvl w:val="4"/>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790" w:hanging="480"/>
    </w:pPr>
    <w:rPr>
      <w:rFonts w:ascii="Calibri" w:hAnsi="Calibri" w:eastAsia="Calibri" w:cs="Calibri"/>
      <w:lang w:val="en-US" w:eastAsia="en-US" w:bidi="ar-SA"/>
    </w:rPr>
  </w:style>
  <w:style w:styleId="TableParagraph" w:type="paragraph">
    <w:name w:val="Table Paragraph"/>
    <w:basedOn w:val="Normal"/>
    <w:uiPriority w:val="1"/>
    <w:qFormat/>
    <w:pPr>
      <w:spacing w:before="202"/>
      <w:ind w:left="3"/>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2026-04-15T22:07:25Z</dcterms:created>
  <dcterms:modified xsi:type="dcterms:W3CDTF">2026-04-15T22:07:25Z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 for Microsoft 365</vt:lpwstr>
  </property>
  <property fmtid="{D5CDD505-2E9C-101B-9397-08002B2CF9AE}" pid="5" name="LastSaved">
    <vt:filetime>2026-04-15T00:00:00Z</vt:filetime>
  </property>
  <property fmtid="{D5CDD505-2E9C-101B-9397-08002B2CF9AE}" pid="6" name="Producer">
    <vt:lpwstr>Microsoft® Word for Microsoft 365</vt:lpwstr>
  </property>
</Properties>
</file>