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一、数据类型与优化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一）总的原则：</w:t>
      </w: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尽可能选择不会超过范围的最小类型。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8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选择更简单的数据类型。比如，整型比字符类型更简单。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8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最好将列指定为NOT NULL。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8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对于整数类型和实数类型，建议只指定类型，不指定精度。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5.进行关联时，混用不同类型可能导致性能问题。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实数类型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也可拿来存储整数，比如用DECIMAL存储比BIGINT大的整数。需要在小数进行精确计算时才使用DECIMAL.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记住字符串类型长度定义不是字节数，而是字符数。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varchar:因为仅使用必要的空间，所以比定长类型更节约空间（但需要1到2个字节记录长度）。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char:适合长度较短，或者接近一个长度的。由于不会产生碎片，对于经常变更的数据使用char更合适。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二进制VS字符类型：1.大小写敏感，2.比字符类型更简单因而更高效。</w:t>
      </w: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BLOD和TEXT都用来存很大的数据，前者是二进制，后者字符。</w:t>
      </w: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使用枚举代替字符串类型：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t>ENUM</w:t>
      </w:r>
      <w:r>
        <w:rPr>
          <w:rFonts w:hint="default"/>
        </w:rPr>
        <w:t> 是一个字符串对象，其值通常选自一个允许值列表中，该列表在表创建时的列规格说明中被明确地列举。在下列某些情况下，值也可以是空串(</w:t>
      </w:r>
      <w:r>
        <w:rPr>
          <w:rFonts w:hint="eastAsia"/>
        </w:rPr>
        <w:t>""</w:t>
      </w:r>
      <w:r>
        <w:rPr>
          <w:rFonts w:hint="default"/>
        </w:rPr>
        <w:t>) 或 </w:t>
      </w:r>
      <w:r>
        <w:rPr>
          <w:rFonts w:hint="eastAsia"/>
        </w:rPr>
        <w:t>NULL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Mysql在内部会将ENUM每个值在列表中的位置保存为整数，并建立映射关系。order by是按照排列位置来。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缺点：字符串列表固定。把VARCHAR/CHAR列于ENUM关联比关联同类型的VARCHAR/CHAR列更慢。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五）时间日期类型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通常尽量使用TIMESTAMP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位数据类型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被当作字符类型处理。尽量不使用这种类型。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选择标识符的类型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1）与关联表一样的类型（包括UNSIGNED）;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2）尽量使用整数（速度快，可以自增长）;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3）避免使用字符串类型。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4）对于UUID可以使用UNHEX()函数转换为16字节数字。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八）Mysql下的特定错误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1）避免设计太多的列。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2）经验法则：单个查询最好在12张表以内做关联。</w:t>
      </w:r>
      <w:bookmarkStart w:id="0" w:name="_GoBack"/>
      <w:bookmarkEnd w:id="0"/>
    </w:p>
    <w:p>
      <w:pPr>
        <w:numPr>
          <w:numId w:val="0"/>
        </w:numPr>
        <w:ind w:firstLine="48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8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manS">
    <w:altName w:val="Segoe UI Semilight"/>
    <w:panose1 w:val="02000400000000000000"/>
    <w:charset w:val="00"/>
    <w:family w:val="auto"/>
    <w:pitch w:val="default"/>
    <w:sig w:usb0="00000000" w:usb1="00000000" w:usb2="00000000" w:usb3="00000000" w:csb0="000001F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monospace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EF6F"/>
    <w:multiLevelType w:val="singleLevel"/>
    <w:tmpl w:val="5935EF6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5F1DA"/>
    <w:multiLevelType w:val="singleLevel"/>
    <w:tmpl w:val="5935F1DA"/>
    <w:lvl w:ilvl="0" w:tentative="0">
      <w:start w:val="2"/>
      <w:numFmt w:val="chineseCounting"/>
      <w:suff w:val="nothing"/>
      <w:lvlText w:val="%1）"/>
      <w:lvlJc w:val="left"/>
    </w:lvl>
  </w:abstractNum>
  <w:abstractNum w:abstractNumId="2">
    <w:nsid w:val="59360A05"/>
    <w:multiLevelType w:val="singleLevel"/>
    <w:tmpl w:val="59360A05"/>
    <w:lvl w:ilvl="0" w:tentative="0">
      <w:start w:val="6"/>
      <w:numFmt w:val="chineseCounting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53508"/>
    <w:rsid w:val="35F701CE"/>
    <w:rsid w:val="3C63155D"/>
    <w:rsid w:val="45C73B9A"/>
    <w:rsid w:val="59C42FBB"/>
    <w:rsid w:val="5B1C2D06"/>
    <w:rsid w:val="6A8C59E2"/>
    <w:rsid w:val="70F91E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叶根友毛笔行书2.0版" w:asciiTheme="minorAscii" w:hAnsiTheme="minorAscii"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新宋体"/>
      <w:sz w:val="44"/>
    </w:rPr>
  </w:style>
  <w:style w:type="paragraph" w:styleId="4">
    <w:name w:val="heading 3"/>
    <w:basedOn w:val="1"/>
    <w:next w:val="1"/>
    <w:link w:val="9"/>
    <w:unhideWhenUsed/>
    <w:qFormat/>
    <w:uiPriority w:val="0"/>
    <w:pPr>
      <w:spacing w:before="357" w:beforeAutospacing="0" w:after="53" w:afterAutospacing="0"/>
      <w:jc w:val="left"/>
      <w:outlineLvl w:val="2"/>
    </w:pPr>
    <w:rPr>
      <w:rFonts w:hint="eastAsia" w:ascii="宋体" w:hAnsi="宋体" w:cs="宋体"/>
      <w:b/>
      <w:kern w:val="0"/>
      <w:sz w:val="28"/>
      <w:szCs w:val="21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9">
    <w:name w:val="标题 3 Char"/>
    <w:link w:val="4"/>
    <w:uiPriority w:val="0"/>
    <w:rPr>
      <w:rFonts w:eastAsia="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2017-06-06T02:20:23Z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