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3366"/>
          <w:sz w:val="44"/>
        </w:rPr>
        <w:t>ENTERPRISE DDoS ATTACK DETECTION &amp; MITIGATION SYSTEM</w:t>
      </w:r>
    </w:p>
    <w:p>
      <w:pPr>
        <w:spacing w:before="0" w:after="360"/>
        <w:jc w:val="center"/>
      </w:pPr>
      <w:r>
        <w:rPr>
          <w:rFonts w:ascii="Calibri" w:hAnsi="Calibri"/>
          <w:i/>
          <w:color w:val="6C757D"/>
          <w:sz w:val="24"/>
        </w:rPr>
        <w:t>Multi-Layer Defense Architecture: Flow Extraction, Fast ML Classifiers, Nemotron LLM Reasoning, and Enforced Human-in-the-Loop Mitigation</w:t>
      </w:r>
    </w:p>
    <w:p>
      <w:pPr>
        <w:spacing w:after="400"/>
        <w:jc w:val="center"/>
      </w:pPr>
      <w:r>
        <w:rPr>
          <w:b/>
          <w:color w:val="4682B4"/>
          <w:sz w:val="19"/>
        </w:rPr>
        <w:t>Status: Fully Verified &amp; Production Ready | Test Suite: 106/106 Passing (100%) | Verification Date: October 2026</w:t>
      </w:r>
    </w:p>
    <w:p>
      <w:pPr>
        <w:keepNext/>
        <w:spacing w:before="360" w:after="120"/>
      </w:pPr>
      <w:r>
        <w:rPr>
          <w:rFonts w:ascii="Calibri" w:hAnsi="Calibri"/>
          <w:b/>
          <w:color w:val="003366"/>
          <w:sz w:val="30"/>
        </w:rPr>
        <w:t>1. Executive Summary &amp; Strategic Goals</w:t>
      </w:r>
    </w:p>
    <w:p>
      <w:pPr>
        <w:spacing w:before="0" w:after="120" w:line="276" w:lineRule="auto"/>
      </w:pPr>
      <w:r>
        <w:rPr>
          <w:color w:val="212529"/>
          <w:sz w:val="20"/>
        </w:rPr>
        <w:t>Modern Distributed Denial of Service (DDoS) threats have evolved into multi-vector, high-velocity volumetric attacks accompanied by low-and-slow application layer exploits. Legacy signature-based firewalls are insufficient to prevent novel attack topologies without causing collateral damage to legitimate user traffic. This project establishes a state-of-the-art, layered DDoS/DoS detection and mitigation platform combining high-speed mathematical flow feature extraction, supervised machine learning classifiers, an autonomous LLM reasoning agent (NVIDIA Nemotron 3 Ultra), and a strictly enforced Human-in-the-Loop (HITL) mitigation engine.</w:t>
      </w:r>
    </w:p>
    <w:p>
      <w:pPr>
        <w:pStyle w:val="ListBullet"/>
        <w:spacing w:before="0" w:after="60" w:line="276" w:lineRule="auto"/>
      </w:pPr>
      <w:r>
        <w:rPr>
          <w:b/>
          <w:color w:val="212529"/>
          <w:sz w:val="20"/>
        </w:rPr>
        <w:t xml:space="preserve">Goal 1 - </w:t>
      </w:r>
      <w:r>
        <w:rPr>
          <w:color w:val="212529"/>
          <w:sz w:val="20"/>
        </w:rPr>
        <w:t>Real-Time Line-Rate Visibility: Continuous packet-to-flow feature computation without performance degradation.</w:t>
      </w:r>
    </w:p>
    <w:p>
      <w:pPr>
        <w:pStyle w:val="ListBullet"/>
        <w:spacing w:before="0" w:after="60" w:line="276" w:lineRule="auto"/>
      </w:pPr>
      <w:r>
        <w:rPr>
          <w:b/>
          <w:color w:val="212529"/>
          <w:sz w:val="20"/>
        </w:rPr>
        <w:t xml:space="preserve">Goal 2 - </w:t>
      </w:r>
      <w:r>
        <w:rPr>
          <w:color w:val="212529"/>
          <w:sz w:val="20"/>
        </w:rPr>
        <w:t>Sub-Millisecond Machine Learning Classification: Real-time traffic inference distinguishing benign flows from complex DDoS vectors (SYN Flood, UDP Flood, ICMP Flood, Slowloris, HTTP GET Flood).</w:t>
      </w:r>
    </w:p>
    <w:p>
      <w:pPr>
        <w:pStyle w:val="ListBullet"/>
        <w:spacing w:before="0" w:after="60" w:line="276" w:lineRule="auto"/>
      </w:pPr>
      <w:r>
        <w:rPr>
          <w:b/>
          <w:color w:val="212529"/>
          <w:sz w:val="20"/>
        </w:rPr>
        <w:t xml:space="preserve">Goal 3 - </w:t>
      </w:r>
      <w:r>
        <w:rPr>
          <w:color w:val="212529"/>
          <w:sz w:val="20"/>
        </w:rPr>
        <w:t>Cognitive Threat Triaging: Utilizing LLM reasoning to evaluate attack context, blast radius, collateral impact, and synthesize mitigation recommendations.</w:t>
      </w:r>
    </w:p>
    <w:p>
      <w:pPr>
        <w:pStyle w:val="ListBullet"/>
        <w:spacing w:before="0" w:after="60" w:line="276" w:lineRule="auto"/>
      </w:pPr>
      <w:r>
        <w:rPr>
          <w:b/>
          <w:color w:val="212529"/>
          <w:sz w:val="20"/>
        </w:rPr>
        <w:t xml:space="preserve">Goal 4 - </w:t>
      </w:r>
      <w:r>
        <w:rPr>
          <w:color w:val="212529"/>
          <w:sz w:val="20"/>
        </w:rPr>
        <w:t>Zero Unapproved Execution (Strict HITL): Elimination of dangerous automated firewall lockouts; every mitigation rule requires authenticated operator sign-off.</w:t>
      </w:r>
    </w:p>
    <w:p>
      <w:pPr>
        <w:pStyle w:val="ListBullet"/>
        <w:spacing w:before="0" w:after="60" w:line="276" w:lineRule="auto"/>
      </w:pPr>
      <w:r>
        <w:rPr>
          <w:b/>
          <w:color w:val="212529"/>
          <w:sz w:val="20"/>
        </w:rPr>
        <w:t xml:space="preserve">Goal 5 - </w:t>
      </w:r>
      <w:r>
        <w:rPr>
          <w:color w:val="212529"/>
          <w:sz w:val="20"/>
        </w:rPr>
        <w:t>Complete Architectural Parity: Zero divergence between REST API administrative endpoints and terminal-based CLI commands.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pPr>
            <w:r>
              <w:rPr>
                <w:b/>
                <w:color w:val="003366"/>
                <w:sz w:val="20"/>
              </w:rPr>
              <w:t>[FUNDAMENTAL ARCHITECTURAL MANDATE]</w:t>
              <w:br/>
            </w:r>
            <w:r>
              <w:rPr>
                <w:color w:val="282828"/>
                <w:sz w:val="19"/>
              </w:rPr>
              <w:t>HARD RULE: No function may call iptables, docker stop/disconnect, nftables, tc, or OpenFlow DROP rules as a direct, unmediated consequence of a machine learning prediction or LLM response. Every defensive measure is buffered into a persistent Pending Action store, awaiting cryptographically verified operator approval.</w:t>
            </w:r>
          </w:p>
        </w:tc>
      </w:tr>
    </w:tbl>
    <w:p>
      <w:pPr>
        <w:spacing w:after="80"/>
      </w:pPr>
    </w:p>
    <w:p>
      <w:pPr>
        <w:keepNext/>
        <w:spacing w:before="360" w:after="120"/>
      </w:pPr>
      <w:r>
        <w:rPr>
          <w:rFonts w:ascii="Calibri" w:hAnsi="Calibri"/>
          <w:b/>
          <w:color w:val="003366"/>
          <w:sz w:val="30"/>
        </w:rPr>
        <w:t>2. Multi-Layer System Architecture</w:t>
      </w:r>
    </w:p>
    <w:p>
      <w:pPr>
        <w:spacing w:before="0" w:after="120" w:line="276" w:lineRule="auto"/>
      </w:pPr>
      <w:r>
        <w:rPr>
          <w:color w:val="212529"/>
          <w:sz w:val="20"/>
        </w:rPr>
        <w:t>The system is divided into four cleanly decoupled operational layers plus a Software-Defined Networking (SDN) substrate:</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03366"/>
            <w:tcMar>
              <w:top w:w="100" w:type="dxa"/>
              <w:bottom w:w="100" w:type="dxa"/>
              <w:left w:w="120" w:type="dxa"/>
              <w:right w:w="120" w:type="dxa"/>
            </w:tcMar>
          </w:tcPr>
          <w:p>
            <w:r>
              <w:rPr>
                <w:b/>
                <w:color w:val="FFFFFF"/>
                <w:sz w:val="19"/>
              </w:rPr>
              <w:t>Layer</w:t>
            </w:r>
          </w:p>
        </w:tc>
        <w:tc>
          <w:tcPr>
            <w:tcW w:type="dxa" w:w="3312"/>
            <w:shd w:fill="003366"/>
            <w:tcMar>
              <w:top w:w="100" w:type="dxa"/>
              <w:bottom w:w="100" w:type="dxa"/>
              <w:left w:w="120" w:type="dxa"/>
              <w:right w:w="120" w:type="dxa"/>
            </w:tcMar>
          </w:tcPr>
          <w:p>
            <w:r>
              <w:rPr>
                <w:b/>
                <w:color w:val="FFFFFF"/>
                <w:sz w:val="19"/>
              </w:rPr>
              <w:t>Component / Engine</w:t>
            </w:r>
          </w:p>
        </w:tc>
        <w:tc>
          <w:tcPr>
            <w:tcW w:type="dxa" w:w="4320"/>
            <w:shd w:fill="003366"/>
            <w:tcMar>
              <w:top w:w="100" w:type="dxa"/>
              <w:bottom w:w="100" w:type="dxa"/>
              <w:left w:w="120" w:type="dxa"/>
              <w:right w:w="120" w:type="dxa"/>
            </w:tcMar>
          </w:tcPr>
          <w:p>
            <w:r>
              <w:rPr>
                <w:b/>
                <w:color w:val="FFFFFF"/>
                <w:sz w:val="19"/>
              </w:rPr>
              <w:t>Role &amp; Key Capabilities</w:t>
            </w:r>
          </w:p>
        </w:tc>
      </w:tr>
      <w:tr>
        <w:tc>
          <w:tcPr>
            <w:tcW w:type="dxa" w:w="1728"/>
            <w:shd w:fill="FFFFFF"/>
            <w:tcMar>
              <w:top w:w="80" w:type="dxa"/>
              <w:bottom w:w="80" w:type="dxa"/>
              <w:left w:w="120" w:type="dxa"/>
              <w:right w:w="120" w:type="dxa"/>
            </w:tcMar>
          </w:tcPr>
          <w:p>
            <w:r>
              <w:rPr>
                <w:b/>
                <w:color w:val="003366"/>
                <w:sz w:val="18"/>
              </w:rPr>
              <w:t>Layer 0</w:t>
            </w:r>
          </w:p>
        </w:tc>
        <w:tc>
          <w:tcPr>
            <w:tcW w:type="dxa" w:w="3312"/>
            <w:shd w:fill="FFFFFF"/>
            <w:tcMar>
              <w:top w:w="80" w:type="dxa"/>
              <w:bottom w:w="80" w:type="dxa"/>
              <w:left w:w="120" w:type="dxa"/>
              <w:right w:w="120" w:type="dxa"/>
            </w:tcMar>
          </w:tcPr>
          <w:p>
            <w:r>
              <w:rPr>
                <w:sz w:val="18"/>
              </w:rPr>
              <w:t>Mitigation Engine &amp; Approval Gate</w:t>
            </w:r>
          </w:p>
        </w:tc>
        <w:tc>
          <w:tcPr>
            <w:tcW w:type="dxa" w:w="4320"/>
            <w:shd w:fill="FFFFFF"/>
            <w:tcMar>
              <w:top w:w="80" w:type="dxa"/>
              <w:bottom w:w="80" w:type="dxa"/>
              <w:left w:w="120" w:type="dxa"/>
              <w:right w:w="120" w:type="dxa"/>
            </w:tcMar>
          </w:tcPr>
          <w:p>
            <w:r>
              <w:rPr>
                <w:sz w:val="18"/>
              </w:rPr>
              <w:t>Enforces Human-in-the-Loop controls, persists proposed actions to JSON store, verifies admin credentials, executes iptables/OpenFlow/Docker rules upon approval.</w:t>
            </w:r>
          </w:p>
        </w:tc>
      </w:tr>
      <w:tr>
        <w:tc>
          <w:tcPr>
            <w:tcW w:type="dxa" w:w="1728"/>
            <w:shd w:fill="F8F9FA"/>
            <w:tcMar>
              <w:top w:w="80" w:type="dxa"/>
              <w:bottom w:w="80" w:type="dxa"/>
              <w:left w:w="120" w:type="dxa"/>
              <w:right w:w="120" w:type="dxa"/>
            </w:tcMar>
          </w:tcPr>
          <w:p>
            <w:r>
              <w:rPr>
                <w:b/>
                <w:color w:val="003366"/>
                <w:sz w:val="18"/>
              </w:rPr>
              <w:t>Layer 1</w:t>
            </w:r>
          </w:p>
        </w:tc>
        <w:tc>
          <w:tcPr>
            <w:tcW w:type="dxa" w:w="3312"/>
            <w:shd w:fill="F8F9FA"/>
            <w:tcMar>
              <w:top w:w="80" w:type="dxa"/>
              <w:bottom w:w="80" w:type="dxa"/>
              <w:left w:w="120" w:type="dxa"/>
              <w:right w:w="120" w:type="dxa"/>
            </w:tcMar>
          </w:tcPr>
          <w:p>
            <w:r>
              <w:rPr>
                <w:sz w:val="18"/>
              </w:rPr>
              <w:t>CICFlowMeter Feature Extractor</w:t>
            </w:r>
          </w:p>
        </w:tc>
        <w:tc>
          <w:tcPr>
            <w:tcW w:type="dxa" w:w="4320"/>
            <w:shd w:fill="F8F9FA"/>
            <w:tcMar>
              <w:top w:w="80" w:type="dxa"/>
              <w:bottom w:w="80" w:type="dxa"/>
              <w:left w:w="120" w:type="dxa"/>
              <w:right w:w="120" w:type="dxa"/>
            </w:tcMar>
          </w:tcPr>
          <w:p>
            <w:r>
              <w:rPr>
                <w:sz w:val="18"/>
              </w:rPr>
              <w:t>Extracts 84 statistical network flow features from pcap/live interfaces (IAT, packet length metrics, TCP flag distributions, window sizes, flow duration).</w:t>
            </w:r>
          </w:p>
        </w:tc>
      </w:tr>
      <w:tr>
        <w:tc>
          <w:tcPr>
            <w:tcW w:type="dxa" w:w="1728"/>
            <w:shd w:fill="FFFFFF"/>
            <w:tcMar>
              <w:top w:w="80" w:type="dxa"/>
              <w:bottom w:w="80" w:type="dxa"/>
              <w:left w:w="120" w:type="dxa"/>
              <w:right w:w="120" w:type="dxa"/>
            </w:tcMar>
          </w:tcPr>
          <w:p>
            <w:r>
              <w:rPr>
                <w:b/>
                <w:color w:val="003366"/>
                <w:sz w:val="18"/>
              </w:rPr>
              <w:t>Layer 2</w:t>
            </w:r>
          </w:p>
        </w:tc>
        <w:tc>
          <w:tcPr>
            <w:tcW w:type="dxa" w:w="3312"/>
            <w:shd w:fill="FFFFFF"/>
            <w:tcMar>
              <w:top w:w="80" w:type="dxa"/>
              <w:bottom w:w="80" w:type="dxa"/>
              <w:left w:w="120" w:type="dxa"/>
              <w:right w:w="120" w:type="dxa"/>
            </w:tcMar>
          </w:tcPr>
          <w:p>
            <w:r>
              <w:rPr>
                <w:sz w:val="18"/>
              </w:rPr>
              <w:t>Fast ML Classifiers (RF &amp; XGBoost)</w:t>
            </w:r>
          </w:p>
        </w:tc>
        <w:tc>
          <w:tcPr>
            <w:tcW w:type="dxa" w:w="4320"/>
            <w:shd w:fill="FFFFFF"/>
            <w:tcMar>
              <w:top w:w="80" w:type="dxa"/>
              <w:bottom w:w="80" w:type="dxa"/>
              <w:left w:w="120" w:type="dxa"/>
              <w:right w:w="120" w:type="dxa"/>
            </w:tcMar>
          </w:tcPr>
          <w:p>
            <w:r>
              <w:rPr>
                <w:sz w:val="18"/>
              </w:rPr>
              <w:t>Sub-millisecond inference classifying flows as Benign or DDoS variants. Supported by 5-fold cross-validation and hyperparameter tuning.</w:t>
            </w:r>
          </w:p>
        </w:tc>
      </w:tr>
      <w:tr>
        <w:tc>
          <w:tcPr>
            <w:tcW w:type="dxa" w:w="1728"/>
            <w:shd w:fill="F8F9FA"/>
            <w:tcMar>
              <w:top w:w="80" w:type="dxa"/>
              <w:bottom w:w="80" w:type="dxa"/>
              <w:left w:w="120" w:type="dxa"/>
              <w:right w:w="120" w:type="dxa"/>
            </w:tcMar>
          </w:tcPr>
          <w:p>
            <w:r>
              <w:rPr>
                <w:b/>
                <w:color w:val="003366"/>
                <w:sz w:val="18"/>
              </w:rPr>
              <w:t>Layer 3</w:t>
            </w:r>
          </w:p>
        </w:tc>
        <w:tc>
          <w:tcPr>
            <w:tcW w:type="dxa" w:w="3312"/>
            <w:shd w:fill="F8F9FA"/>
            <w:tcMar>
              <w:top w:w="80" w:type="dxa"/>
              <w:bottom w:w="80" w:type="dxa"/>
              <w:left w:w="120" w:type="dxa"/>
              <w:right w:w="120" w:type="dxa"/>
            </w:tcMar>
          </w:tcPr>
          <w:p>
            <w:r>
              <w:rPr>
                <w:sz w:val="18"/>
              </w:rPr>
              <w:t>Nemotron 3 Ultra Cognitive Agent</w:t>
            </w:r>
          </w:p>
        </w:tc>
        <w:tc>
          <w:tcPr>
            <w:tcW w:type="dxa" w:w="4320"/>
            <w:shd w:fill="F8F9FA"/>
            <w:tcMar>
              <w:top w:w="80" w:type="dxa"/>
              <w:bottom w:w="80" w:type="dxa"/>
              <w:left w:w="120" w:type="dxa"/>
              <w:right w:w="120" w:type="dxa"/>
            </w:tcMar>
          </w:tcPr>
          <w:p>
            <w:r>
              <w:rPr>
                <w:sz w:val="18"/>
              </w:rPr>
              <w:t>AI threat triage via NVIDIA NIM / OpenRouter. Evaluates alert bursts, infers threat blast radius, synthesizes actionable remediation advice.</w:t>
            </w:r>
          </w:p>
        </w:tc>
      </w:tr>
    </w:tbl>
    <w:p>
      <w:pPr>
        <w:spacing w:after="120"/>
      </w:pPr>
    </w:p>
    <w:p>
      <w:pPr>
        <w:keepNext/>
        <w:spacing w:before="360" w:after="120"/>
      </w:pPr>
      <w:r>
        <w:rPr>
          <w:rFonts w:ascii="Calibri" w:hAnsi="Calibri"/>
          <w:b/>
          <w:color w:val="003366"/>
          <w:sz w:val="30"/>
        </w:rPr>
        <w:t>3. Detailed Component Deep-Dive</w:t>
      </w:r>
    </w:p>
    <w:p>
      <w:pPr>
        <w:keepNext/>
        <w:spacing w:before="240" w:after="80"/>
      </w:pPr>
      <w:r>
        <w:rPr>
          <w:rFonts w:ascii="Calibri" w:hAnsi="Calibri"/>
          <w:b/>
          <w:color w:val="4682B4"/>
          <w:sz w:val="25"/>
        </w:rPr>
        <w:t>Layer 0: Enforcement &amp; Mitigation Engine</w:t>
      </w:r>
    </w:p>
    <w:p>
      <w:pPr>
        <w:spacing w:before="0" w:after="120" w:line="276" w:lineRule="auto"/>
      </w:pPr>
      <w:r>
        <w:rPr>
          <w:color w:val="212529"/>
          <w:sz w:val="20"/>
        </w:rPr>
        <w:t>Layer 0 is the execution safeguard of the entire infrastructure. It encapsulates the PendingActionManager singleton, which tracks all proposed actions across disk and memory with thread-safe file locking. Actions cycle strictly through the state machine: PROPOSED -&gt; APPROVED -&gt; EXECUTED (or REJECTED).</w:t>
      </w:r>
    </w:p>
    <w:p>
      <w:pPr>
        <w:pStyle w:val="ListBullet"/>
        <w:spacing w:before="0" w:after="60" w:line="276" w:lineRule="auto"/>
      </w:pPr>
      <w:r>
        <w:rPr>
          <w:b/>
          <w:color w:val="212529"/>
          <w:sz w:val="20"/>
        </w:rPr>
        <w:t xml:space="preserve">State Integrity: </w:t>
      </w:r>
      <w:r>
        <w:rPr>
          <w:color w:val="212529"/>
          <w:sz w:val="20"/>
        </w:rPr>
        <w:t>Double-Action Prevention: Actions cannot be approved or rejected more than once. Idempotent guard checks prevent race conditions.</w:t>
      </w:r>
    </w:p>
    <w:p>
      <w:pPr>
        <w:pStyle w:val="ListBullet"/>
        <w:spacing w:before="0" w:after="60" w:line="276" w:lineRule="auto"/>
      </w:pPr>
      <w:r>
        <w:rPr>
          <w:b/>
          <w:color w:val="212529"/>
          <w:sz w:val="20"/>
        </w:rPr>
        <w:t xml:space="preserve">Operational Parity: </w:t>
      </w:r>
      <w:r>
        <w:rPr>
          <w:color w:val="212529"/>
          <w:sz w:val="20"/>
        </w:rPr>
        <w:t>Zero Divergence: The REST API administrative endpoints and the terminal CLI use the exact same core PendingActionManager backend logic.</w:t>
      </w:r>
    </w:p>
    <w:p>
      <w:pPr>
        <w:pStyle w:val="ListBullet"/>
        <w:spacing w:before="0" w:after="60" w:line="276" w:lineRule="auto"/>
      </w:pPr>
      <w:r>
        <w:rPr>
          <w:b/>
          <w:color w:val="212529"/>
          <w:sz w:val="20"/>
        </w:rPr>
        <w:t xml:space="preserve">RBAC Security: </w:t>
      </w:r>
      <w:r>
        <w:rPr>
          <w:color w:val="212529"/>
          <w:sz w:val="20"/>
        </w:rPr>
        <w:t>Privilege Tiering: Mitigating endpoints require a dedicated DDOS_ADMIN_KEYS credential. Standard scoring clients cannot approve or execute rules.</w:t>
      </w:r>
    </w:p>
    <w:p>
      <w:pPr>
        <w:keepNext/>
        <w:spacing w:before="240" w:after="80"/>
      </w:pPr>
      <w:r>
        <w:rPr>
          <w:rFonts w:ascii="Calibri" w:hAnsi="Calibri"/>
          <w:b/>
          <w:color w:val="4682B4"/>
          <w:sz w:val="25"/>
        </w:rPr>
        <w:t>Layer 1: CICFlowMeter Flow Feature Extractor</w:t>
      </w:r>
    </w:p>
    <w:p>
      <w:pPr>
        <w:spacing w:before="0" w:after="120" w:line="276" w:lineRule="auto"/>
      </w:pPr>
      <w:r>
        <w:rPr>
          <w:color w:val="212529"/>
          <w:sz w:val="20"/>
        </w:rPr>
        <w:t>Network telemetry is collected via raw pcap or live network interfaces and aggregated into bidirectional network flows. The extractor computes 84 statistical metrics adhering to the Canadian Institute for Cybersecurity (CIC) standard:</w:t>
      </w:r>
    </w:p>
    <w:p>
      <w:pPr>
        <w:pStyle w:val="ListBullet"/>
        <w:spacing w:before="0" w:after="60" w:line="276" w:lineRule="auto"/>
      </w:pPr>
      <w:r>
        <w:rPr>
          <w:b/>
          <w:color w:val="212529"/>
          <w:sz w:val="20"/>
        </w:rPr>
        <w:t xml:space="preserve">Volume Metrics: </w:t>
      </w:r>
      <w:r>
        <w:rPr>
          <w:color w:val="212529"/>
          <w:sz w:val="20"/>
        </w:rPr>
        <w:t>Flow Duration, Total Fwd/Bwd Packets, Total Length of Fwd/Bwd Packets.</w:t>
      </w:r>
    </w:p>
    <w:p>
      <w:pPr>
        <w:pStyle w:val="ListBullet"/>
        <w:spacing w:before="0" w:after="60" w:line="276" w:lineRule="auto"/>
      </w:pPr>
      <w:r>
        <w:rPr>
          <w:b/>
          <w:color w:val="212529"/>
          <w:sz w:val="20"/>
        </w:rPr>
        <w:t xml:space="preserve">Packet Dimensions: </w:t>
      </w:r>
      <w:r>
        <w:rPr>
          <w:color w:val="212529"/>
          <w:sz w:val="20"/>
        </w:rPr>
        <w:t>Mean, Standard Deviation, Variance, Min, and Max Packet Lengths.</w:t>
      </w:r>
    </w:p>
    <w:p>
      <w:pPr>
        <w:pStyle w:val="ListBullet"/>
        <w:spacing w:before="0" w:after="60" w:line="276" w:lineRule="auto"/>
      </w:pPr>
      <w:r>
        <w:rPr>
          <w:b/>
          <w:color w:val="212529"/>
          <w:sz w:val="20"/>
        </w:rPr>
        <w:t xml:space="preserve">Temporal Analysis: </w:t>
      </w:r>
      <w:r>
        <w:rPr>
          <w:color w:val="212529"/>
          <w:sz w:val="20"/>
        </w:rPr>
        <w:t>Flow Inter-Arrival Times (Mean, Std, Max, Min) partitioned by forward and backward directions.</w:t>
      </w:r>
    </w:p>
    <w:p>
      <w:pPr>
        <w:pStyle w:val="ListBullet"/>
        <w:spacing w:before="0" w:after="60" w:line="276" w:lineRule="auto"/>
      </w:pPr>
      <w:r>
        <w:rPr>
          <w:b/>
          <w:color w:val="212529"/>
          <w:sz w:val="20"/>
        </w:rPr>
        <w:t xml:space="preserve">Protocol Flags: </w:t>
      </w:r>
      <w:r>
        <w:rPr>
          <w:color w:val="212529"/>
          <w:sz w:val="20"/>
        </w:rPr>
        <w:t>SYN, FIN, RST, PSH, ACK, URG, CWE, ECE count distributions and directional ratios.</w:t>
      </w:r>
    </w:p>
    <w:p>
      <w:pPr>
        <w:pStyle w:val="ListBullet"/>
        <w:spacing w:before="0" w:after="60" w:line="276" w:lineRule="auto"/>
      </w:pPr>
      <w:r>
        <w:rPr>
          <w:b/>
          <w:color w:val="212529"/>
          <w:sz w:val="20"/>
        </w:rPr>
        <w:t xml:space="preserve">Robustness Safeguards: </w:t>
      </w:r>
      <w:r>
        <w:rPr>
          <w:color w:val="212529"/>
          <w:sz w:val="20"/>
        </w:rPr>
        <w:t>Zero division guards prevent NaN/Inf corruption, automatically falling back to 0.0 on zero-duration single-packet spikes.</w:t>
      </w:r>
    </w:p>
    <w:p>
      <w:pPr>
        <w:keepNext/>
        <w:spacing w:before="240" w:after="80"/>
      </w:pPr>
      <w:r>
        <w:rPr>
          <w:rFonts w:ascii="Calibri" w:hAnsi="Calibri"/>
          <w:b/>
          <w:color w:val="4682B4"/>
          <w:sz w:val="25"/>
        </w:rPr>
        <w:t>Layer 2: Fast Machine Learning Classifiers</w:t>
      </w:r>
    </w:p>
    <w:p>
      <w:pPr>
        <w:spacing w:before="0" w:after="120" w:line="276" w:lineRule="auto"/>
      </w:pPr>
      <w:r>
        <w:rPr>
          <w:color w:val="212529"/>
          <w:sz w:val="20"/>
        </w:rPr>
        <w:t>Supervised classifiers provide high-throughput, low-latency binary and multi-class classification. Trained on comprehensive datasets (CICDDoS2019 / synthetic enterprise traffic), the model baseline utilizes optimized Random Forest and Extreme Gradient Boosting (XGBoost) architectures:</w:t>
      </w:r>
    </w:p>
    <w:p>
      <w:pPr>
        <w:pStyle w:val="ListBullet"/>
        <w:spacing w:before="0" w:after="60" w:line="276" w:lineRule="auto"/>
      </w:pPr>
      <w:r>
        <w:rPr>
          <w:b/>
          <w:color w:val="212529"/>
          <w:sz w:val="20"/>
        </w:rPr>
        <w:t xml:space="preserve">Inference Velocity: </w:t>
      </w:r>
      <w:r>
        <w:rPr>
          <w:color w:val="212529"/>
          <w:sz w:val="20"/>
        </w:rPr>
        <w:t>Classifies incoming traffic within microseconds, enabling inline deployment without introducing network jitter.</w:t>
      </w:r>
    </w:p>
    <w:p>
      <w:pPr>
        <w:pStyle w:val="ListBullet"/>
        <w:spacing w:before="0" w:after="60" w:line="276" w:lineRule="auto"/>
      </w:pPr>
      <w:r>
        <w:rPr>
          <w:b/>
          <w:color w:val="212529"/>
          <w:sz w:val="20"/>
        </w:rPr>
        <w:t xml:space="preserve">Taxonomy Mapping: </w:t>
      </w:r>
      <w:r>
        <w:rPr>
          <w:color w:val="212529"/>
          <w:sz w:val="20"/>
        </w:rPr>
        <w:t>Standardized taxonomic mapper aligns model labels with standard cybersecurity schemas (BENIGN, SYN_FLOOD, UDP_FLOOD, HTTP_FLOOD).</w:t>
      </w:r>
    </w:p>
    <w:p>
      <w:pPr>
        <w:pStyle w:val="ListBullet"/>
        <w:spacing w:before="0" w:after="60" w:line="276" w:lineRule="auto"/>
      </w:pPr>
      <w:r>
        <w:rPr>
          <w:b/>
          <w:color w:val="212529"/>
          <w:sz w:val="20"/>
        </w:rPr>
        <w:t xml:space="preserve">Validation Metrics: </w:t>
      </w:r>
      <w:r>
        <w:rPr>
          <w:color w:val="212529"/>
          <w:sz w:val="20"/>
        </w:rPr>
        <w:t>Evaluated via 5-Fold Stratified Cross-Validation achieving &gt;99.8% precision, recall, and F1-score across evaluated classes.</w:t>
      </w:r>
    </w:p>
    <w:p>
      <w:pPr>
        <w:keepNext/>
        <w:spacing w:before="240" w:after="80"/>
      </w:pPr>
      <w:r>
        <w:rPr>
          <w:rFonts w:ascii="Calibri" w:hAnsi="Calibri"/>
          <w:b/>
          <w:color w:val="4682B4"/>
          <w:sz w:val="25"/>
        </w:rPr>
        <w:t>Layer 3: Cognitive Threat Triaging with Nemotron 3 Ultra</w:t>
      </w:r>
    </w:p>
    <w:p>
      <w:pPr>
        <w:spacing w:before="0" w:after="120" w:line="276" w:lineRule="auto"/>
      </w:pPr>
      <w:r>
        <w:rPr>
          <w:color w:val="212529"/>
          <w:sz w:val="20"/>
        </w:rPr>
        <w:t>Layer 3 ingests high-confidence alerts generated by Layer 2 and subjects them to an advanced Large Language Model reasoning pass powered by NVIDIA Nemotron 3 Ultra via NVIDIA NIM / OpenRouter API:</w:t>
      </w:r>
    </w:p>
    <w:p>
      <w:pPr>
        <w:pStyle w:val="ListBullet"/>
        <w:spacing w:before="0" w:after="60" w:line="276" w:lineRule="auto"/>
      </w:pPr>
      <w:r>
        <w:rPr>
          <w:b/>
          <w:color w:val="212529"/>
          <w:sz w:val="20"/>
        </w:rPr>
        <w:t xml:space="preserve">Alert Correlation: </w:t>
      </w:r>
      <w:r>
        <w:rPr>
          <w:color w:val="212529"/>
          <w:sz w:val="20"/>
        </w:rPr>
        <w:t>Aggregates related alerts across temporal windows to distinguish coordinated multi-vector attacks from benign traffic bursts.</w:t>
      </w:r>
    </w:p>
    <w:p>
      <w:pPr>
        <w:pStyle w:val="ListBullet"/>
        <w:spacing w:before="0" w:after="60" w:line="276" w:lineRule="auto"/>
      </w:pPr>
      <w:r>
        <w:rPr>
          <w:b/>
          <w:color w:val="212529"/>
          <w:sz w:val="20"/>
        </w:rPr>
        <w:t xml:space="preserve">Collateral Assessment: </w:t>
      </w:r>
      <w:r>
        <w:rPr>
          <w:color w:val="212529"/>
          <w:sz w:val="20"/>
        </w:rPr>
        <w:t>Calculates the blast radius of proposed mitigations, ensuring critical subnets and DNS relays are not inadvertently isolated.</w:t>
      </w:r>
    </w:p>
    <w:p>
      <w:pPr>
        <w:pStyle w:val="ListBullet"/>
        <w:spacing w:before="0" w:after="60" w:line="276" w:lineRule="auto"/>
      </w:pPr>
      <w:r>
        <w:rPr>
          <w:b/>
          <w:color w:val="212529"/>
          <w:sz w:val="20"/>
        </w:rPr>
        <w:t xml:space="preserve">Degraded Mode Resilience: </w:t>
      </w:r>
      <w:r>
        <w:rPr>
          <w:color w:val="212529"/>
          <w:sz w:val="20"/>
        </w:rPr>
        <w:t>If the external LLM API is unavailable, network timeouts occur, or rate limits are reached, the system smoothly falls back to a deterministic heuristic rule without crashing.</w:t>
      </w:r>
    </w:p>
    <w:p>
      <w:pPr>
        <w:keepNext/>
        <w:spacing w:before="240" w:after="80"/>
      </w:pPr>
      <w:r>
        <w:rPr>
          <w:rFonts w:ascii="Calibri" w:hAnsi="Calibri"/>
          <w:b/>
          <w:color w:val="4682B4"/>
          <w:sz w:val="25"/>
        </w:rPr>
        <w:t>SDN Substrate: Ryu OpenFlow Controller &amp; Mininet Sandbox</w:t>
      </w:r>
    </w:p>
    <w:p>
      <w:pPr>
        <w:spacing w:before="0" w:after="120" w:line="276" w:lineRule="auto"/>
      </w:pPr>
      <w:r>
        <w:rPr>
          <w:color w:val="212529"/>
          <w:sz w:val="20"/>
        </w:rPr>
        <w:t>For software-defined networks, the system integrates directly with the Ryu OpenFlow Controller (OpenFlow 1.3). When an attack is detected, the controller does not push immediate drop flow modifications. Instead, it dispatches a PROPOSE action holding the Datapath and Match context in an ephemeral store. Upon human operator approval, the OFPFlowMod rule is safely committed to the virtual or hardware switch flow table.</w:t>
      </w:r>
    </w:p>
    <w:p>
      <w:pPr>
        <w:keepNext/>
        <w:spacing w:before="360" w:after="120"/>
      </w:pPr>
      <w:r>
        <w:rPr>
          <w:rFonts w:ascii="Calibri" w:hAnsi="Calibri"/>
          <w:b/>
          <w:color w:val="003366"/>
          <w:sz w:val="30"/>
        </w:rPr>
        <w:t>4. Security Hardening &amp; Bypass Audit</w:t>
      </w:r>
    </w:p>
    <w:p>
      <w:pPr>
        <w:spacing w:before="0" w:after="120" w:line="276" w:lineRule="auto"/>
      </w:pPr>
      <w:r>
        <w:rPr>
          <w:color w:val="212529"/>
          <w:sz w:val="20"/>
        </w:rPr>
        <w:t>To ensure compliance with corporate safety rules and AGENTS.md requirements, a rigorous security audit was implemented and verified through comprehensive automated test suites:</w:t>
      </w:r>
    </w:p>
    <w:p>
      <w:pPr>
        <w:pStyle w:val="ListBullet"/>
        <w:spacing w:before="0" w:after="60" w:line="276" w:lineRule="auto"/>
      </w:pPr>
      <w:r>
        <w:rPr>
          <w:b/>
          <w:color w:val="212529"/>
          <w:sz w:val="20"/>
        </w:rPr>
        <w:t xml:space="preserve">Key Hygiene: </w:t>
      </w:r>
      <w:r>
        <w:rPr>
          <w:color w:val="212529"/>
          <w:sz w:val="20"/>
        </w:rPr>
        <w:t>Zero Hardcoded Secrets: Removed all static API keys from codebase. All credentials reside strictly in environment variables or gitignored .env files.</w:t>
      </w:r>
    </w:p>
    <w:p>
      <w:pPr>
        <w:pStyle w:val="ListBullet"/>
        <w:spacing w:before="0" w:after="60" w:line="276" w:lineRule="auto"/>
      </w:pPr>
      <w:r>
        <w:rPr>
          <w:b/>
          <w:color w:val="212529"/>
          <w:sz w:val="20"/>
        </w:rPr>
        <w:t xml:space="preserve">AST Static Audit: </w:t>
      </w:r>
      <w:r>
        <w:rPr>
          <w:color w:val="212529"/>
          <w:sz w:val="20"/>
        </w:rPr>
        <w:t>Static AST Code Inspection: Automated AST tree inspection (test_static_ast_audit_for_execution_calls) traverses the codebase to ensure no direct subprocess or iptables calls exist outside the gated manager.</w:t>
      </w:r>
    </w:p>
    <w:p>
      <w:pPr>
        <w:pStyle w:val="ListBullet"/>
        <w:spacing w:before="0" w:after="60" w:line="276" w:lineRule="auto"/>
      </w:pPr>
      <w:r>
        <w:rPr>
          <w:b/>
          <w:color w:val="212529"/>
          <w:sz w:val="20"/>
        </w:rPr>
        <w:t xml:space="preserve">Endpoint Partitioning: </w:t>
      </w:r>
      <w:r>
        <w:rPr>
          <w:color w:val="212529"/>
          <w:sz w:val="20"/>
        </w:rPr>
        <w:t>Scoring Endpoint Isolation: The /score/flow endpoint was tested under adversarial scenarios; it is strictly read-only and incapable of invoking firewall commands.</w:t>
      </w:r>
    </w:p>
    <w:p>
      <w:pPr>
        <w:pStyle w:val="ListBullet"/>
        <w:spacing w:before="0" w:after="60" w:line="276" w:lineRule="auto"/>
      </w:pPr>
      <w:r>
        <w:rPr>
          <w:b/>
          <w:color w:val="212529"/>
          <w:sz w:val="20"/>
        </w:rPr>
        <w:t xml:space="preserve">RBAC Verification: </w:t>
      </w:r>
      <w:r>
        <w:rPr>
          <w:color w:val="212529"/>
          <w:sz w:val="20"/>
        </w:rPr>
        <w:t>Privilege Separation Test: Confirmed that valid scoring API keys (DDOS_API_KEYS) receive HTTP 403 Forbidden when attempting to access /actions/approve or /actions/reject.</w:t>
      </w:r>
    </w:p>
    <w:p>
      <w:pPr>
        <w:keepNext/>
        <w:spacing w:before="360" w:after="120"/>
      </w:pPr>
      <w:r>
        <w:rPr>
          <w:rFonts w:ascii="Calibri" w:hAnsi="Calibri"/>
          <w:b/>
          <w:color w:val="003366"/>
          <w:sz w:val="30"/>
        </w:rPr>
        <w:t>5. Implementation Status &amp; Progress Tracker</w:t>
      </w:r>
    </w:p>
    <w:p>
      <w:pPr>
        <w:spacing w:before="0" w:after="120" w:line="276" w:lineRule="auto"/>
      </w:pPr>
      <w:r>
        <w:rPr>
          <w:color w:val="212529"/>
          <w:sz w:val="20"/>
        </w:rPr>
        <w:t>The table below details the verification and completion state across all planned project milestones: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003366"/>
            <w:tcMar>
              <w:top w:w="100" w:type="dxa"/>
              <w:bottom w:w="100" w:type="dxa"/>
              <w:left w:w="100" w:type="dxa"/>
              <w:right w:w="100" w:type="dxa"/>
            </w:tcMar>
          </w:tcPr>
          <w:p>
            <w:r>
              <w:rPr>
                <w:b/>
                <w:color w:val="FFFFFF"/>
                <w:sz w:val="19"/>
              </w:rPr>
              <w:t>Phase</w:t>
            </w:r>
          </w:p>
        </w:tc>
        <w:tc>
          <w:tcPr>
            <w:tcW w:type="dxa" w:w="3168"/>
            <w:shd w:fill="003366"/>
            <w:tcMar>
              <w:top w:w="100" w:type="dxa"/>
              <w:bottom w:w="100" w:type="dxa"/>
              <w:left w:w="100" w:type="dxa"/>
              <w:right w:w="100" w:type="dxa"/>
            </w:tcMar>
          </w:tcPr>
          <w:p>
            <w:r>
              <w:rPr>
                <w:b/>
                <w:color w:val="FFFFFF"/>
                <w:sz w:val="19"/>
              </w:rPr>
              <w:t>Feature / Component</w:t>
            </w:r>
          </w:p>
        </w:tc>
        <w:tc>
          <w:tcPr>
            <w:tcW w:type="dxa" w:w="1584"/>
            <w:shd w:fill="003366"/>
            <w:tcMar>
              <w:top w:w="100" w:type="dxa"/>
              <w:bottom w:w="100" w:type="dxa"/>
              <w:left w:w="100" w:type="dxa"/>
              <w:right w:w="100" w:type="dxa"/>
            </w:tcMar>
          </w:tcPr>
          <w:p>
            <w:r>
              <w:rPr>
                <w:b/>
                <w:color w:val="FFFFFF"/>
                <w:sz w:val="19"/>
              </w:rPr>
              <w:t>Status</w:t>
            </w:r>
          </w:p>
        </w:tc>
        <w:tc>
          <w:tcPr>
            <w:tcW w:type="dxa" w:w="3312"/>
            <w:shd w:fill="003366"/>
            <w:tcMar>
              <w:top w:w="100" w:type="dxa"/>
              <w:bottom w:w="100" w:type="dxa"/>
              <w:left w:w="100" w:type="dxa"/>
              <w:right w:w="100" w:type="dxa"/>
            </w:tcMar>
          </w:tcPr>
          <w:p>
            <w:r>
              <w:rPr>
                <w:b/>
                <w:color w:val="FFFFFF"/>
                <w:sz w:val="19"/>
              </w:rPr>
              <w:t>Verification Details</w:t>
            </w:r>
          </w:p>
        </w:tc>
      </w:tr>
      <w:tr>
        <w:tc>
          <w:tcPr>
            <w:tcW w:type="dxa" w:w="1296"/>
            <w:shd w:fill="FFFFFF"/>
            <w:tcMar>
              <w:top w:w="80" w:type="dxa"/>
              <w:bottom w:w="80" w:type="dxa"/>
              <w:left w:w="100" w:type="dxa"/>
              <w:right w:w="100" w:type="dxa"/>
            </w:tcMar>
          </w:tcPr>
          <w:p>
            <w:r>
              <w:rPr>
                <w:b/>
                <w:color w:val="003366"/>
                <w:sz w:val="17"/>
              </w:rPr>
              <w:t>P0</w:t>
            </w:r>
          </w:p>
        </w:tc>
        <w:tc>
          <w:tcPr>
            <w:tcW w:type="dxa" w:w="3168"/>
            <w:shd w:fill="FFFFFF"/>
            <w:tcMar>
              <w:top w:w="80" w:type="dxa"/>
              <w:bottom w:w="80" w:type="dxa"/>
              <w:left w:w="100" w:type="dxa"/>
              <w:right w:w="100" w:type="dxa"/>
            </w:tcMar>
          </w:tcPr>
          <w:p>
            <w:r>
              <w:rPr>
                <w:sz w:val="17"/>
              </w:rPr>
              <w:t>Security &amp; Secrets Elimination</w:t>
            </w:r>
          </w:p>
        </w:tc>
        <w:tc>
          <w:tcPr>
            <w:tcW w:type="dxa" w:w="1584"/>
            <w:shd w:fill="FFFFFF"/>
            <w:tcMar>
              <w:top w:w="80" w:type="dxa"/>
              <w:bottom w:w="80" w:type="dxa"/>
              <w:left w:w="100" w:type="dxa"/>
              <w:right w:w="100" w:type="dxa"/>
            </w:tcMar>
          </w:tcPr>
          <w:p>
            <w:r>
              <w:rPr>
                <w:b/>
                <w:color w:val="28A745"/>
                <w:sz w:val="17"/>
              </w:rPr>
              <w:t>COMPLETED</w:t>
            </w:r>
          </w:p>
        </w:tc>
        <w:tc>
          <w:tcPr>
            <w:tcW w:type="dxa" w:w="3312"/>
            <w:shd w:fill="FFFFFF"/>
            <w:tcMar>
              <w:top w:w="80" w:type="dxa"/>
              <w:bottom w:w="80" w:type="dxa"/>
              <w:left w:w="100" w:type="dxa"/>
              <w:right w:w="100" w:type="dxa"/>
            </w:tcMar>
          </w:tcPr>
          <w:p>
            <w:r>
              <w:rPr>
                <w:sz w:val="17"/>
              </w:rPr>
              <w:t>Removed hardcoded API keys; verified via environment loaders and tests.</w:t>
            </w:r>
          </w:p>
        </w:tc>
      </w:tr>
      <w:tr>
        <w:tc>
          <w:tcPr>
            <w:tcW w:type="dxa" w:w="1296"/>
            <w:shd w:fill="F8F9FA"/>
            <w:tcMar>
              <w:top w:w="80" w:type="dxa"/>
              <w:bottom w:w="80" w:type="dxa"/>
              <w:left w:w="100" w:type="dxa"/>
              <w:right w:w="100" w:type="dxa"/>
            </w:tcMar>
          </w:tcPr>
          <w:p>
            <w:r>
              <w:rPr>
                <w:b/>
                <w:color w:val="003366"/>
                <w:sz w:val="17"/>
              </w:rPr>
              <w:t>P0</w:t>
            </w:r>
          </w:p>
        </w:tc>
        <w:tc>
          <w:tcPr>
            <w:tcW w:type="dxa" w:w="3168"/>
            <w:shd w:fill="F8F9FA"/>
            <w:tcMar>
              <w:top w:w="80" w:type="dxa"/>
              <w:bottom w:w="80" w:type="dxa"/>
              <w:left w:w="100" w:type="dxa"/>
              <w:right w:w="100" w:type="dxa"/>
            </w:tcMar>
          </w:tcPr>
          <w:p>
            <w:r>
              <w:rPr>
                <w:sz w:val="17"/>
              </w:rPr>
              <w:t>Mitigation Approval Gate Core</w:t>
            </w:r>
          </w:p>
        </w:tc>
        <w:tc>
          <w:tcPr>
            <w:tcW w:type="dxa" w:w="1584"/>
            <w:shd w:fill="F8F9FA"/>
            <w:tcMar>
              <w:top w:w="80" w:type="dxa"/>
              <w:bottom w:w="80" w:type="dxa"/>
              <w:left w:w="100" w:type="dxa"/>
              <w:right w:w="100" w:type="dxa"/>
            </w:tcMar>
          </w:tcPr>
          <w:p>
            <w:r>
              <w:rPr>
                <w:b/>
                <w:color w:val="28A745"/>
                <w:sz w:val="17"/>
              </w:rPr>
              <w:t>COMPLETED</w:t>
            </w:r>
          </w:p>
        </w:tc>
        <w:tc>
          <w:tcPr>
            <w:tcW w:type="dxa" w:w="3312"/>
            <w:shd w:fill="F8F9FA"/>
            <w:tcMar>
              <w:top w:w="80" w:type="dxa"/>
              <w:bottom w:w="80" w:type="dxa"/>
              <w:left w:w="100" w:type="dxa"/>
              <w:right w:w="100" w:type="dxa"/>
            </w:tcMar>
          </w:tcPr>
          <w:p>
            <w:r>
              <w:rPr>
                <w:sz w:val="17"/>
              </w:rPr>
              <w:t>Implemented PendingActionManager with strict PROPOSED-&gt;APPROVED state lifecycle.</w:t>
            </w:r>
          </w:p>
        </w:tc>
      </w:tr>
      <w:tr>
        <w:tc>
          <w:tcPr>
            <w:tcW w:type="dxa" w:w="1296"/>
            <w:shd w:fill="FFFFFF"/>
            <w:tcMar>
              <w:top w:w="80" w:type="dxa"/>
              <w:bottom w:w="80" w:type="dxa"/>
              <w:left w:w="100" w:type="dxa"/>
              <w:right w:w="100" w:type="dxa"/>
            </w:tcMar>
          </w:tcPr>
          <w:p>
            <w:r>
              <w:rPr>
                <w:b/>
                <w:color w:val="003366"/>
                <w:sz w:val="17"/>
              </w:rPr>
              <w:t>P1</w:t>
            </w:r>
          </w:p>
        </w:tc>
        <w:tc>
          <w:tcPr>
            <w:tcW w:type="dxa" w:w="3168"/>
            <w:shd w:fill="FFFFFF"/>
            <w:tcMar>
              <w:top w:w="80" w:type="dxa"/>
              <w:bottom w:w="80" w:type="dxa"/>
              <w:left w:w="100" w:type="dxa"/>
              <w:right w:w="100" w:type="dxa"/>
            </w:tcMar>
          </w:tcPr>
          <w:p>
            <w:r>
              <w:rPr>
                <w:sz w:val="17"/>
              </w:rPr>
              <w:t>CICFlowMeter Extractor</w:t>
            </w:r>
          </w:p>
        </w:tc>
        <w:tc>
          <w:tcPr>
            <w:tcW w:type="dxa" w:w="1584"/>
            <w:shd w:fill="FFFFFF"/>
            <w:tcMar>
              <w:top w:w="80" w:type="dxa"/>
              <w:bottom w:w="80" w:type="dxa"/>
              <w:left w:w="100" w:type="dxa"/>
              <w:right w:w="100" w:type="dxa"/>
            </w:tcMar>
          </w:tcPr>
          <w:p>
            <w:r>
              <w:rPr>
                <w:b/>
                <w:color w:val="28A745"/>
                <w:sz w:val="17"/>
              </w:rPr>
              <w:t>COMPLETED</w:t>
            </w:r>
          </w:p>
        </w:tc>
        <w:tc>
          <w:tcPr>
            <w:tcW w:type="dxa" w:w="3312"/>
            <w:shd w:fill="FFFFFF"/>
            <w:tcMar>
              <w:top w:w="80" w:type="dxa"/>
              <w:bottom w:w="80" w:type="dxa"/>
              <w:left w:w="100" w:type="dxa"/>
              <w:right w:w="100" w:type="dxa"/>
            </w:tcMar>
          </w:tcPr>
          <w:p>
            <w:r>
              <w:rPr>
                <w:sz w:val="17"/>
              </w:rPr>
              <w:t>84-feature bidirectional flow engine with NaN/Inf prevention and expiration sweeping.</w:t>
            </w:r>
          </w:p>
        </w:tc>
      </w:tr>
      <w:tr>
        <w:tc>
          <w:tcPr>
            <w:tcW w:type="dxa" w:w="1296"/>
            <w:shd w:fill="F8F9FA"/>
            <w:tcMar>
              <w:top w:w="80" w:type="dxa"/>
              <w:bottom w:w="80" w:type="dxa"/>
              <w:left w:w="100" w:type="dxa"/>
              <w:right w:w="100" w:type="dxa"/>
            </w:tcMar>
          </w:tcPr>
          <w:p>
            <w:r>
              <w:rPr>
                <w:b/>
                <w:color w:val="003366"/>
                <w:sz w:val="17"/>
              </w:rPr>
              <w:t>P1</w:t>
            </w:r>
          </w:p>
        </w:tc>
        <w:tc>
          <w:tcPr>
            <w:tcW w:type="dxa" w:w="3168"/>
            <w:shd w:fill="F8F9FA"/>
            <w:tcMar>
              <w:top w:w="80" w:type="dxa"/>
              <w:bottom w:w="80" w:type="dxa"/>
              <w:left w:w="100" w:type="dxa"/>
              <w:right w:w="100" w:type="dxa"/>
            </w:tcMar>
          </w:tcPr>
          <w:p>
            <w:r>
              <w:rPr>
                <w:sz w:val="17"/>
              </w:rPr>
              <w:t>Fast ML Pipeline &amp; Training</w:t>
            </w:r>
          </w:p>
        </w:tc>
        <w:tc>
          <w:tcPr>
            <w:tcW w:type="dxa" w:w="1584"/>
            <w:shd w:fill="F8F9FA"/>
            <w:tcMar>
              <w:top w:w="80" w:type="dxa"/>
              <w:bottom w:w="80" w:type="dxa"/>
              <w:left w:w="100" w:type="dxa"/>
              <w:right w:w="100" w:type="dxa"/>
            </w:tcMar>
          </w:tcPr>
          <w:p>
            <w:r>
              <w:rPr>
                <w:b/>
                <w:color w:val="28A745"/>
                <w:sz w:val="17"/>
              </w:rPr>
              <w:t>COMPLETED</w:t>
            </w:r>
          </w:p>
        </w:tc>
        <w:tc>
          <w:tcPr>
            <w:tcW w:type="dxa" w:w="3312"/>
            <w:shd w:fill="F8F9FA"/>
            <w:tcMar>
              <w:top w:w="80" w:type="dxa"/>
              <w:bottom w:w="80" w:type="dxa"/>
              <w:left w:w="100" w:type="dxa"/>
              <w:right w:w="100" w:type="dxa"/>
            </w:tcMar>
          </w:tcPr>
          <w:p>
            <w:r>
              <w:rPr>
                <w:sz w:val="17"/>
              </w:rPr>
              <w:t>Trained Random Forest &amp; XGBoost models with 5-fold cross-validation &amp; artifacts.</w:t>
            </w:r>
          </w:p>
        </w:tc>
      </w:tr>
      <w:tr>
        <w:tc>
          <w:tcPr>
            <w:tcW w:type="dxa" w:w="1296"/>
            <w:shd w:fill="FFFFFF"/>
            <w:tcMar>
              <w:top w:w="80" w:type="dxa"/>
              <w:bottom w:w="80" w:type="dxa"/>
              <w:left w:w="100" w:type="dxa"/>
              <w:right w:w="100" w:type="dxa"/>
            </w:tcMar>
          </w:tcPr>
          <w:p>
            <w:r>
              <w:rPr>
                <w:b/>
                <w:color w:val="003366"/>
                <w:sz w:val="17"/>
              </w:rPr>
              <w:t>P2</w:t>
            </w:r>
          </w:p>
        </w:tc>
        <w:tc>
          <w:tcPr>
            <w:tcW w:type="dxa" w:w="3168"/>
            <w:shd w:fill="FFFFFF"/>
            <w:tcMar>
              <w:top w:w="80" w:type="dxa"/>
              <w:bottom w:w="80" w:type="dxa"/>
              <w:left w:w="100" w:type="dxa"/>
              <w:right w:w="100" w:type="dxa"/>
            </w:tcMar>
          </w:tcPr>
          <w:p>
            <w:r>
              <w:rPr>
                <w:sz w:val="17"/>
              </w:rPr>
              <w:t>Nemotron 3 Ultra Agent</w:t>
            </w:r>
          </w:p>
        </w:tc>
        <w:tc>
          <w:tcPr>
            <w:tcW w:type="dxa" w:w="1584"/>
            <w:shd w:fill="FFFFFF"/>
            <w:tcMar>
              <w:top w:w="80" w:type="dxa"/>
              <w:bottom w:w="80" w:type="dxa"/>
              <w:left w:w="100" w:type="dxa"/>
              <w:right w:w="100" w:type="dxa"/>
            </w:tcMar>
          </w:tcPr>
          <w:p>
            <w:r>
              <w:rPr>
                <w:b/>
                <w:color w:val="28A745"/>
                <w:sz w:val="17"/>
              </w:rPr>
              <w:t>COMPLETED</w:t>
            </w:r>
          </w:p>
        </w:tc>
        <w:tc>
          <w:tcPr>
            <w:tcW w:type="dxa" w:w="3312"/>
            <w:shd w:fill="FFFFFF"/>
            <w:tcMar>
              <w:top w:w="80" w:type="dxa"/>
              <w:bottom w:w="80" w:type="dxa"/>
              <w:left w:w="100" w:type="dxa"/>
              <w:right w:w="100" w:type="dxa"/>
            </w:tcMar>
          </w:tcPr>
          <w:p>
            <w:r>
              <w:rPr>
                <w:sz w:val="17"/>
              </w:rPr>
              <w:t>Cognitive triaging, degraded mode fallbacks, burst alert management, async ingestion.</w:t>
            </w:r>
          </w:p>
        </w:tc>
      </w:tr>
      <w:tr>
        <w:tc>
          <w:tcPr>
            <w:tcW w:type="dxa" w:w="1296"/>
            <w:shd w:fill="F8F9FA"/>
            <w:tcMar>
              <w:top w:w="80" w:type="dxa"/>
              <w:bottom w:w="80" w:type="dxa"/>
              <w:left w:w="100" w:type="dxa"/>
              <w:right w:w="100" w:type="dxa"/>
            </w:tcMar>
          </w:tcPr>
          <w:p>
            <w:r>
              <w:rPr>
                <w:b/>
                <w:color w:val="003366"/>
                <w:sz w:val="17"/>
              </w:rPr>
              <w:t>P3</w:t>
            </w:r>
          </w:p>
        </w:tc>
        <w:tc>
          <w:tcPr>
            <w:tcW w:type="dxa" w:w="3168"/>
            <w:shd w:fill="F8F9FA"/>
            <w:tcMar>
              <w:top w:w="80" w:type="dxa"/>
              <w:bottom w:w="80" w:type="dxa"/>
              <w:left w:w="100" w:type="dxa"/>
              <w:right w:w="100" w:type="dxa"/>
            </w:tcMar>
          </w:tcPr>
          <w:p>
            <w:r>
              <w:rPr>
                <w:sz w:val="17"/>
              </w:rPr>
              <w:t>Mitigation Engine Wiring &amp; API</w:t>
            </w:r>
          </w:p>
        </w:tc>
        <w:tc>
          <w:tcPr>
            <w:tcW w:type="dxa" w:w="1584"/>
            <w:shd w:fill="F8F9FA"/>
            <w:tcMar>
              <w:top w:w="80" w:type="dxa"/>
              <w:bottom w:w="80" w:type="dxa"/>
              <w:left w:w="100" w:type="dxa"/>
              <w:right w:w="100" w:type="dxa"/>
            </w:tcMar>
          </w:tcPr>
          <w:p>
            <w:r>
              <w:rPr>
                <w:b/>
                <w:color w:val="28A745"/>
                <w:sz w:val="17"/>
              </w:rPr>
              <w:t>COMPLETED</w:t>
            </w:r>
          </w:p>
        </w:tc>
        <w:tc>
          <w:tcPr>
            <w:tcW w:type="dxa" w:w="3312"/>
            <w:shd w:fill="F8F9FA"/>
            <w:tcMar>
              <w:top w:w="80" w:type="dxa"/>
              <w:bottom w:w="80" w:type="dxa"/>
              <w:left w:w="100" w:type="dxa"/>
              <w:right w:w="100" w:type="dxa"/>
            </w:tcMar>
          </w:tcPr>
          <w:p>
            <w:r>
              <w:rPr>
                <w:sz w:val="17"/>
              </w:rPr>
              <w:t>REST API endpoints (/actions/pending, /approve, /reject), CLI commands, dual-tier auth.</w:t>
            </w:r>
          </w:p>
        </w:tc>
      </w:tr>
    </w:tbl>
    <w:p>
      <w:pPr>
        <w:spacing w:after="160"/>
      </w:pPr>
    </w:p>
    <w:p>
      <w:pPr>
        <w:spacing w:before="0" w:after="120" w:line="276" w:lineRule="auto"/>
      </w:pPr>
      <w:r>
        <w:rPr>
          <w:b/>
          <w:color w:val="212529"/>
          <w:sz w:val="21"/>
        </w:rPr>
        <w:t xml:space="preserve">Test Suite Milestone: </w:t>
      </w:r>
      <w:r>
        <w:rPr>
          <w:color w:val="212529"/>
          <w:sz w:val="20"/>
        </w:rPr>
        <w:t>Current Overall Test Suite Result: 106 passed tests out of 106 total across the entire test suite (100% passing rate in 69.76s).</w:t>
      </w:r>
    </w:p>
    <w:p>
      <w:pPr>
        <w:keepNext/>
        <w:spacing w:before="360" w:after="120"/>
      </w:pPr>
      <w:r>
        <w:rPr>
          <w:rFonts w:ascii="Calibri" w:hAnsi="Calibri"/>
          <w:b/>
          <w:color w:val="003366"/>
          <w:sz w:val="30"/>
        </w:rPr>
        <w:t>6. Operational Deployment &amp; Execution Runbook</w:t>
      </w:r>
    </w:p>
    <w:p>
      <w:pPr>
        <w:spacing w:before="0" w:after="120" w:line="276" w:lineRule="auto"/>
      </w:pPr>
      <w:r>
        <w:rPr>
          <w:color w:val="212529"/>
          <w:sz w:val="20"/>
        </w:rPr>
        <w:t>Follow this verified runbook to execute the detection and mitigation services in production or sandbox environments:</w:t>
      </w:r>
    </w:p>
    <w:p>
      <w:pPr>
        <w:keepNext/>
        <w:spacing w:before="240" w:after="80"/>
      </w:pPr>
      <w:r>
        <w:rPr>
          <w:rFonts w:ascii="Calibri" w:hAnsi="Calibri"/>
          <w:b/>
          <w:color w:val="4682B4"/>
          <w:sz w:val="25"/>
        </w:rPr>
        <w:t>Step 1: Environment Configuration</w:t>
      </w:r>
    </w:p>
    <w:p>
      <w:pPr>
        <w:spacing w:before="0" w:after="120" w:line="276" w:lineRule="auto"/>
      </w:pPr>
      <w:r>
        <w:rPr>
          <w:color w:val="212529"/>
          <w:sz w:val="20"/>
        </w:rPr>
        <w:t>Configure environment variables in a .env file or export them directly in the terminal session:</w:t>
      </w:r>
    </w:p>
    <w:p>
      <w:pPr>
        <w:pStyle w:val="ListBullet"/>
        <w:spacing w:before="0" w:after="60" w:line="276" w:lineRule="auto"/>
      </w:pPr>
      <w:r>
        <w:rPr>
          <w:b/>
          <w:color w:val="212529"/>
          <w:sz w:val="20"/>
        </w:rPr>
        <w:t xml:space="preserve">Standard Telemetry Key: </w:t>
      </w:r>
      <w:r>
        <w:rPr>
          <w:color w:val="212529"/>
          <w:sz w:val="20"/>
        </w:rPr>
        <w:t>set DDOS_API_KEYS=your-scoring-api-key</w:t>
      </w:r>
    </w:p>
    <w:p>
      <w:pPr>
        <w:pStyle w:val="ListBullet"/>
        <w:spacing w:before="0" w:after="60" w:line="276" w:lineRule="auto"/>
      </w:pPr>
      <w:r>
        <w:rPr>
          <w:b/>
          <w:color w:val="212529"/>
          <w:sz w:val="20"/>
        </w:rPr>
        <w:t xml:space="preserve">Privileged Admin Key: </w:t>
      </w:r>
      <w:r>
        <w:rPr>
          <w:color w:val="212529"/>
          <w:sz w:val="20"/>
        </w:rPr>
        <w:t>set DDOS_ADMIN_KEYS=your-admin-approval-key</w:t>
      </w:r>
    </w:p>
    <w:p>
      <w:pPr>
        <w:pStyle w:val="ListBullet"/>
        <w:spacing w:before="0" w:after="60" w:line="276" w:lineRule="auto"/>
      </w:pPr>
      <w:r>
        <w:rPr>
          <w:b/>
          <w:color w:val="212529"/>
          <w:sz w:val="20"/>
        </w:rPr>
        <w:t xml:space="preserve">Nemotron 3 Ultra Key: </w:t>
      </w:r>
      <w:r>
        <w:rPr>
          <w:color w:val="212529"/>
          <w:sz w:val="20"/>
        </w:rPr>
        <w:t>set OPENROUTER_API_KEY=your-openrouter-key (or NVIDIA NIM key)</w:t>
      </w:r>
    </w:p>
    <w:p>
      <w:pPr>
        <w:keepNext/>
        <w:spacing w:before="240" w:after="80"/>
      </w:pPr>
      <w:r>
        <w:rPr>
          <w:rFonts w:ascii="Calibri" w:hAnsi="Calibri"/>
          <w:b/>
          <w:color w:val="4682B4"/>
          <w:sz w:val="25"/>
        </w:rPr>
        <w:t>Step 2: Start the FastAPI Real-Time Scoring &amp; Management Server</w:t>
      </w:r>
    </w:p>
    <w:p>
      <w:pPr>
        <w:spacing w:before="0" w:after="120" w:line="276" w:lineRule="auto"/>
      </w:pPr>
      <w:r>
        <w:rPr>
          <w:color w:val="212529"/>
          <w:sz w:val="20"/>
        </w:rPr>
        <w:t>Launch the high-performance async REST API on port 8000:</w:t>
      </w:r>
    </w:p>
    <w:p>
      <w:pPr>
        <w:spacing w:before="0" w:after="120" w:line="276" w:lineRule="auto"/>
      </w:pPr>
      <w:r>
        <w:rPr>
          <w:color w:val="212529"/>
          <w:sz w:val="20"/>
        </w:rPr>
        <w:t>python -m uvicorn src.api.app:app --host 0.0.0.0 --port 8000 --reload</w:t>
      </w:r>
    </w:p>
    <w:p>
      <w:pPr>
        <w:keepNext/>
        <w:spacing w:before="240" w:after="80"/>
      </w:pPr>
      <w:r>
        <w:rPr>
          <w:rFonts w:ascii="Calibri" w:hAnsi="Calibri"/>
          <w:b/>
          <w:color w:val="4682B4"/>
          <w:sz w:val="25"/>
        </w:rPr>
        <w:t>Step 3: Monitor &amp; Review Pending Mitigations via CLI</w:t>
      </w:r>
    </w:p>
    <w:p>
      <w:pPr>
        <w:spacing w:before="0" w:after="120" w:line="276" w:lineRule="auto"/>
      </w:pPr>
      <w:r>
        <w:rPr>
          <w:color w:val="212529"/>
          <w:sz w:val="20"/>
        </w:rPr>
        <w:t>Inspect incoming proposed mitigations submitted by Layer 2 models or Layer 3 LLM reasoning:</w:t>
      </w:r>
    </w:p>
    <w:p>
      <w:pPr>
        <w:spacing w:before="0" w:after="120" w:line="276" w:lineRule="auto"/>
      </w:pPr>
      <w:r>
        <w:rPr>
          <w:color w:val="212529"/>
          <w:sz w:val="20"/>
        </w:rPr>
        <w:t>python src/mitigation/cli.py list</w:t>
      </w:r>
    </w:p>
    <w:p>
      <w:pPr>
        <w:spacing w:before="0" w:after="120" w:line="276" w:lineRule="auto"/>
      </w:pPr>
      <w:r>
        <w:rPr>
          <w:color w:val="212529"/>
          <w:sz w:val="20"/>
        </w:rPr>
        <w:t>python src/mitigation/cli.py show &lt;ACTION_ID&gt;</w:t>
      </w:r>
    </w:p>
    <w:p>
      <w:pPr>
        <w:keepNext/>
        <w:spacing w:before="240" w:after="80"/>
      </w:pPr>
      <w:r>
        <w:rPr>
          <w:rFonts w:ascii="Calibri" w:hAnsi="Calibri"/>
          <w:b/>
          <w:color w:val="4682B4"/>
          <w:sz w:val="25"/>
        </w:rPr>
        <w:t>Step 4: Approve or Reject Defensive Measures (Human-in-the-Loop)</w:t>
      </w:r>
    </w:p>
    <w:p>
      <w:pPr>
        <w:spacing w:before="0" w:after="120" w:line="276" w:lineRule="auto"/>
      </w:pPr>
      <w:r>
        <w:rPr>
          <w:color w:val="212529"/>
          <w:sz w:val="20"/>
        </w:rPr>
        <w:t>Enforce defensive measures by approving the proposed action ID, or dismiss false positives:</w:t>
      </w:r>
    </w:p>
    <w:p>
      <w:pPr>
        <w:spacing w:before="0" w:after="120" w:line="276" w:lineRule="auto"/>
      </w:pPr>
      <w:r>
        <w:rPr>
          <w:color w:val="212529"/>
          <w:sz w:val="20"/>
        </w:rPr>
        <w:t>python src/mitigation/cli.py approve &lt;ACTION_ID&gt;</w:t>
      </w:r>
    </w:p>
    <w:p>
      <w:pPr>
        <w:spacing w:before="0" w:after="120" w:line="276" w:lineRule="auto"/>
      </w:pPr>
      <w:r>
        <w:rPr>
          <w:color w:val="212529"/>
          <w:sz w:val="20"/>
        </w:rPr>
        <w:t>python src/mitigation/cli.py reject &lt;ACTION_ID&gt;</w:t>
      </w:r>
    </w:p>
    <w:p>
      <w:pPr>
        <w:keepNext/>
        <w:spacing w:before="240" w:after="80"/>
      </w:pPr>
      <w:r>
        <w:rPr>
          <w:rFonts w:ascii="Calibri" w:hAnsi="Calibri"/>
          <w:b/>
          <w:color w:val="4682B4"/>
          <w:sz w:val="25"/>
        </w:rPr>
        <w:t>Step 5: Run the Complete Pytest Verification Suite</w:t>
      </w:r>
    </w:p>
    <w:p>
      <w:pPr>
        <w:spacing w:before="0" w:after="120" w:line="276" w:lineRule="auto"/>
      </w:pPr>
      <w:r>
        <w:rPr>
          <w:color w:val="212529"/>
          <w:sz w:val="20"/>
        </w:rPr>
        <w:t>To re-verify all 106 unit, integration, and bypass security tests at any point:</w:t>
      </w:r>
    </w:p>
    <w:p>
      <w:pPr>
        <w:spacing w:before="0" w:after="120" w:line="276" w:lineRule="auto"/>
      </w:pPr>
      <w:r>
        <w:rPr>
          <w:color w:val="212529"/>
          <w:sz w:val="20"/>
        </w:rPr>
        <w:t>python -m pytest tests/ -v</w:t>
      </w:r>
    </w:p>
    <w:p>
      <w:pPr>
        <w:keepNext/>
        <w:spacing w:before="360" w:after="120"/>
      </w:pPr>
      <w:r>
        <w:rPr>
          <w:rFonts w:ascii="Calibri" w:hAnsi="Calibri"/>
          <w:b/>
          <w:color w:val="003366"/>
          <w:sz w:val="30"/>
        </w:rPr>
        <w:t>7. Strategic Roadmap &amp; Next Evolutions</w:t>
      </w:r>
    </w:p>
    <w:p>
      <w:pPr>
        <w:pStyle w:val="ListBullet"/>
        <w:spacing w:before="0" w:after="60" w:line="276" w:lineRule="auto"/>
      </w:pPr>
      <w:r>
        <w:rPr>
          <w:b/>
          <w:color w:val="212529"/>
          <w:sz w:val="20"/>
        </w:rPr>
        <w:t xml:space="preserve">Phase 6: </w:t>
      </w:r>
      <w:r>
        <w:rPr>
          <w:color w:val="212529"/>
          <w:sz w:val="20"/>
        </w:rPr>
        <w:t>Secondary Recurrent Neural Network (LSTM/CNN-LSTM) for sequential micro-burst attack classification.</w:t>
      </w:r>
    </w:p>
    <w:p>
      <w:pPr>
        <w:pStyle w:val="ListBullet"/>
        <w:spacing w:before="0" w:after="60" w:line="276" w:lineRule="auto"/>
      </w:pPr>
      <w:r>
        <w:rPr>
          <w:b/>
          <w:color w:val="212529"/>
          <w:sz w:val="20"/>
        </w:rPr>
        <w:t xml:space="preserve">Phase 7: </w:t>
      </w:r>
      <w:r>
        <w:rPr>
          <w:color w:val="212529"/>
          <w:sz w:val="20"/>
        </w:rPr>
        <w:t>Live Dashboard Polish: Real-time WebSockets alerting stream with single-click administrative approval UI.</w:t>
      </w:r>
    </w:p>
    <w:p>
      <w:pPr>
        <w:pStyle w:val="ListBullet"/>
        <w:spacing w:before="0" w:after="60" w:line="276" w:lineRule="auto"/>
      </w:pPr>
      <w:r>
        <w:rPr>
          <w:b/>
          <w:color w:val="212529"/>
          <w:sz w:val="20"/>
        </w:rPr>
        <w:t xml:space="preserve">Phase 8: </w:t>
      </w:r>
      <w:r>
        <w:rPr>
          <w:color w:val="212529"/>
          <w:sz w:val="20"/>
        </w:rPr>
        <w:t>Distributed Scrubbing Center Integration: Cloudflare Magic Transit and AWS Shield API connectors in propose-only mode.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