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Signal CGE Model</w:t>
        <w:br/>
        <w:t>Basic User Guide - Adapted Architecture Draft</w:t>
      </w:r>
    </w:p>
    <w:p>
      <w:pPr>
        <w:jc w:val="center"/>
      </w:pPr>
      <w:r>
        <w:t>Prepared for repository storage and Codex-assisted implementation. This document is a Signal-native adaptation and implementation guide, not a verbatim reproduction of any external model guide.</w:t>
      </w:r>
    </w:p>
    <w:p>
      <w:pPr>
        <w:pStyle w:val="Heading1"/>
      </w:pPr>
      <w:r>
        <w:t>1. Purpose</w:t>
      </w:r>
    </w:p>
    <w:p>
      <w:r>
        <w:t>This guide defines how the Signal CGE model should be organised, calibrated, validated, simulated, and reported inside the Signal repository. It translates standard CGE operating principles into a Signal-native structure designed for AI-assisted workflows, Hugging Face deployment, and future open-source solving.</w:t>
      </w:r>
    </w:p>
    <w:p>
      <w:pPr>
        <w:pStyle w:val="Heading1"/>
      </w:pPr>
      <w:r>
        <w:t>2. Signal CGE Master Structure</w:t>
      </w:r>
    </w:p>
    <w:p>
      <w:r>
        <w:t>The canonical Signal CGE directory should separate data, calibration, closures, experiments, solvers, diagnostics, dynamics, reporting, and results. The AI interface should sit outside the model core and communicate through stable workflow APIs.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Signal folder</w:t>
            </w:r>
          </w:p>
        </w:tc>
        <w:tc>
          <w:tcPr>
            <w:tcW w:type="dxa" w:w="3360"/>
            <w:shd w:fill="D9EAF7"/>
          </w:tcPr>
          <w:p>
            <w:r/>
            <w:r>
              <w:rPr>
                <w:b/>
                <w:sz w:val="18"/>
              </w:rPr>
              <w:t>Purpose</w:t>
            </w:r>
          </w:p>
        </w:tc>
        <w:tc>
          <w:tcPr>
            <w:tcW w:type="dxa" w:w="3360"/>
            <w:shd w:fill="D9EAF7"/>
          </w:tcPr>
          <w:p>
            <w:r/>
            <w:r>
              <w:rPr>
                <w:b/>
                <w:sz w:val="18"/>
              </w:rPr>
              <w:t>Typical contents</w:t>
            </w:r>
          </w:p>
        </w:tc>
      </w:tr>
      <w:tr>
        <w:tc>
          <w:tcPr>
            <w:tcW w:type="dxa" w:w="3360"/>
          </w:tcPr>
          <w:p>
            <w:r/>
            <w:r>
              <w:rPr>
                <w:b w:val="0"/>
                <w:sz w:val="18"/>
              </w:rPr>
              <w:t>signal_cge/data/</w:t>
            </w:r>
          </w:p>
        </w:tc>
        <w:tc>
          <w:tcPr>
            <w:tcW w:type="dxa" w:w="3360"/>
          </w:tcPr>
          <w:p>
            <w:r/>
            <w:r>
              <w:rPr>
                <w:b w:val="0"/>
                <w:sz w:val="18"/>
              </w:rPr>
              <w:t>Model data ingestion and SAM validation</w:t>
            </w:r>
          </w:p>
        </w:tc>
        <w:tc>
          <w:tcPr>
            <w:tcW w:type="dxa" w:w="3360"/>
          </w:tcPr>
          <w:p>
            <w:r/>
            <w:r>
              <w:rPr>
                <w:b w:val="0"/>
                <w:sz w:val="18"/>
              </w:rPr>
              <w:t>SAM loader, account map, set validation, workbook checks</w:t>
            </w:r>
          </w:p>
        </w:tc>
      </w:tr>
      <w:tr>
        <w:tc>
          <w:tcPr>
            <w:tcW w:type="dxa" w:w="3360"/>
          </w:tcPr>
          <w:p>
            <w:r/>
            <w:r>
              <w:rPr>
                <w:b w:val="0"/>
                <w:sz w:val="18"/>
              </w:rPr>
              <w:t>signal_cge/calibration/</w:t>
            </w:r>
          </w:p>
        </w:tc>
        <w:tc>
          <w:tcPr>
            <w:tcW w:type="dxa" w:w="3360"/>
          </w:tcPr>
          <w:p>
            <w:r/>
            <w:r>
              <w:rPr>
                <w:b w:val="0"/>
                <w:sz w:val="18"/>
              </w:rPr>
              <w:t>Base-year calibration and benchmark extraction</w:t>
            </w:r>
          </w:p>
        </w:tc>
        <w:tc>
          <w:tcPr>
            <w:tcW w:type="dxa" w:w="3360"/>
          </w:tcPr>
          <w:p>
            <w:r/>
            <w:r>
              <w:rPr>
                <w:b w:val="0"/>
                <w:sz w:val="18"/>
              </w:rPr>
              <w:t>benchmark flows, share parameters, calibration diagnostics</w:t>
            </w:r>
          </w:p>
        </w:tc>
      </w:tr>
      <w:tr>
        <w:tc>
          <w:tcPr>
            <w:tcW w:type="dxa" w:w="3360"/>
          </w:tcPr>
          <w:p>
            <w:r/>
            <w:r>
              <w:rPr>
                <w:b w:val="0"/>
                <w:sz w:val="18"/>
              </w:rPr>
              <w:t>signal_cge/model_core/</w:t>
            </w:r>
          </w:p>
        </w:tc>
        <w:tc>
          <w:tcPr>
            <w:tcW w:type="dxa" w:w="3360"/>
          </w:tcPr>
          <w:p>
            <w:r/>
            <w:r>
              <w:rPr>
                <w:b w:val="0"/>
                <w:sz w:val="18"/>
              </w:rPr>
              <w:t>Economic equations and model blocks</w:t>
            </w:r>
          </w:p>
        </w:tc>
        <w:tc>
          <w:tcPr>
            <w:tcW w:type="dxa" w:w="3360"/>
          </w:tcPr>
          <w:p>
            <w:r/>
            <w:r>
              <w:rPr>
                <w:b w:val="0"/>
                <w:sz w:val="18"/>
              </w:rPr>
              <w:t>production, trade, households, government, prices, market clearing</w:t>
            </w:r>
          </w:p>
        </w:tc>
      </w:tr>
      <w:tr>
        <w:tc>
          <w:tcPr>
            <w:tcW w:type="dxa" w:w="3360"/>
          </w:tcPr>
          <w:p>
            <w:r/>
            <w:r>
              <w:rPr>
                <w:b w:val="0"/>
                <w:sz w:val="18"/>
              </w:rPr>
              <w:t>signal_cge/closures/</w:t>
            </w:r>
          </w:p>
        </w:tc>
        <w:tc>
          <w:tcPr>
            <w:tcW w:type="dxa" w:w="3360"/>
          </w:tcPr>
          <w:p>
            <w:r/>
            <w:r>
              <w:rPr>
                <w:b w:val="0"/>
                <w:sz w:val="18"/>
              </w:rPr>
              <w:t>Macroeconomic and market-clearing assumptions</w:t>
            </w:r>
          </w:p>
        </w:tc>
        <w:tc>
          <w:tcPr>
            <w:tcW w:type="dxa" w:w="3360"/>
          </w:tcPr>
          <w:p>
            <w:r/>
            <w:r>
              <w:rPr>
                <w:b w:val="0"/>
                <w:sz w:val="18"/>
              </w:rPr>
              <w:t>base, static, dynamic, external balance, factor market closure</w:t>
            </w:r>
          </w:p>
        </w:tc>
      </w:tr>
      <w:tr>
        <w:tc>
          <w:tcPr>
            <w:tcW w:type="dxa" w:w="3360"/>
          </w:tcPr>
          <w:p>
            <w:r/>
            <w:r>
              <w:rPr>
                <w:b w:val="0"/>
                <w:sz w:val="18"/>
              </w:rPr>
              <w:t>signal_cge/experiments/</w:t>
            </w:r>
          </w:p>
        </w:tc>
        <w:tc>
          <w:tcPr>
            <w:tcW w:type="dxa" w:w="3360"/>
          </w:tcPr>
          <w:p>
            <w:r/>
            <w:r>
              <w:rPr>
                <w:b w:val="0"/>
                <w:sz w:val="18"/>
              </w:rPr>
              <w:t>Scenario containers and simulation loops</w:t>
            </w:r>
          </w:p>
        </w:tc>
        <w:tc>
          <w:tcPr>
            <w:tcW w:type="dxa" w:w="3360"/>
          </w:tcPr>
          <w:p>
            <w:r/>
            <w:r>
              <w:rPr>
                <w:b w:val="0"/>
                <w:sz w:val="18"/>
              </w:rPr>
              <w:t>shock containers, experiment registry, simulation loop</w:t>
            </w:r>
          </w:p>
        </w:tc>
      </w:tr>
      <w:tr>
        <w:tc>
          <w:tcPr>
            <w:tcW w:type="dxa" w:w="3360"/>
          </w:tcPr>
          <w:p>
            <w:r/>
            <w:r>
              <w:rPr>
                <w:b w:val="0"/>
                <w:sz w:val="18"/>
              </w:rPr>
              <w:t>signal_cge/solvers/</w:t>
            </w:r>
          </w:p>
        </w:tc>
        <w:tc>
          <w:tcPr>
            <w:tcW w:type="dxa" w:w="3360"/>
          </w:tcPr>
          <w:p>
            <w:r/>
            <w:r>
              <w:rPr>
                <w:b w:val="0"/>
                <w:sz w:val="18"/>
              </w:rPr>
              <w:t>Execution engines</w:t>
            </w:r>
          </w:p>
        </w:tc>
        <w:tc>
          <w:tcPr>
            <w:tcW w:type="dxa" w:w="3360"/>
          </w:tcPr>
          <w:p>
            <w:r/>
            <w:r>
              <w:rPr>
                <w:b w:val="0"/>
                <w:sz w:val="18"/>
              </w:rPr>
              <w:t>SAM multiplier fallback, optional GAMS runner, open-source solver stub</w:t>
            </w:r>
          </w:p>
        </w:tc>
      </w:tr>
      <w:tr>
        <w:tc>
          <w:tcPr>
            <w:tcW w:type="dxa" w:w="3360"/>
          </w:tcPr>
          <w:p>
            <w:r/>
            <w:r>
              <w:rPr>
                <w:b w:val="0"/>
                <w:sz w:val="18"/>
              </w:rPr>
              <w:t>signal_cge/diagnostics/</w:t>
            </w:r>
          </w:p>
        </w:tc>
        <w:tc>
          <w:tcPr>
            <w:tcW w:type="dxa" w:w="3360"/>
          </w:tcPr>
          <w:p>
            <w:r/>
            <w:r>
              <w:rPr>
                <w:b w:val="0"/>
                <w:sz w:val="18"/>
              </w:rPr>
              <w:t>Pre- and post-solve validation</w:t>
            </w:r>
          </w:p>
        </w:tc>
        <w:tc>
          <w:tcPr>
            <w:tcW w:type="dxa" w:w="3360"/>
          </w:tcPr>
          <w:p>
            <w:r/>
            <w:r>
              <w:rPr>
                <w:b w:val="0"/>
                <w:sz w:val="18"/>
              </w:rPr>
              <w:t>SAM balance, homogeneity, Walras, infeasibility, result checks</w:t>
            </w:r>
          </w:p>
        </w:tc>
      </w:tr>
      <w:tr>
        <w:tc>
          <w:tcPr>
            <w:tcW w:type="dxa" w:w="3360"/>
          </w:tcPr>
          <w:p>
            <w:r/>
            <w:r>
              <w:rPr>
                <w:b w:val="0"/>
                <w:sz w:val="18"/>
              </w:rPr>
              <w:t>signal_cge/dynamics/</w:t>
            </w:r>
          </w:p>
        </w:tc>
        <w:tc>
          <w:tcPr>
            <w:tcW w:type="dxa" w:w="3360"/>
          </w:tcPr>
          <w:p>
            <w:r/>
            <w:r>
              <w:rPr>
                <w:b w:val="0"/>
                <w:sz w:val="18"/>
              </w:rPr>
              <w:t>Recursive dynamic updating</w:t>
            </w:r>
          </w:p>
        </w:tc>
        <w:tc>
          <w:tcPr>
            <w:tcW w:type="dxa" w:w="3360"/>
          </w:tcPr>
          <w:p>
            <w:r/>
            <w:r>
              <w:rPr>
                <w:b w:val="0"/>
                <w:sz w:val="18"/>
              </w:rPr>
              <w:t>capital accumulation, labour growth, productivity, baseline projection</w:t>
            </w:r>
          </w:p>
        </w:tc>
      </w:tr>
      <w:tr>
        <w:tc>
          <w:tcPr>
            <w:tcW w:type="dxa" w:w="3360"/>
          </w:tcPr>
          <w:p>
            <w:r/>
            <w:r>
              <w:rPr>
                <w:b w:val="0"/>
                <w:sz w:val="18"/>
              </w:rPr>
              <w:t>signal_cge/reporting/</w:t>
            </w:r>
          </w:p>
        </w:tc>
        <w:tc>
          <w:tcPr>
            <w:tcW w:type="dxa" w:w="3360"/>
          </w:tcPr>
          <w:p>
            <w:r/>
            <w:r>
              <w:rPr>
                <w:b w:val="0"/>
                <w:sz w:val="18"/>
              </w:rPr>
              <w:t>Output formatting and policy interpretation</w:t>
            </w:r>
          </w:p>
        </w:tc>
        <w:tc>
          <w:tcPr>
            <w:tcW w:type="dxa" w:w="3360"/>
          </w:tcPr>
          <w:p>
            <w:r/>
            <w:r>
              <w:rPr>
                <w:b w:val="0"/>
                <w:sz w:val="18"/>
              </w:rPr>
              <w:t>level results, changes from baseline, macro, welfare, structural reports</w:t>
            </w:r>
          </w:p>
        </w:tc>
      </w:tr>
      <w:tr>
        <w:tc>
          <w:tcPr>
            <w:tcW w:type="dxa" w:w="3360"/>
          </w:tcPr>
          <w:p>
            <w:r/>
            <w:r>
              <w:rPr>
                <w:b w:val="0"/>
                <w:sz w:val="18"/>
              </w:rPr>
              <w:t>signal_cge/results/</w:t>
            </w:r>
          </w:p>
        </w:tc>
        <w:tc>
          <w:tcPr>
            <w:tcW w:type="dxa" w:w="3360"/>
          </w:tcPr>
          <w:p>
            <w:r/>
            <w:r>
              <w:rPr>
                <w:b w:val="0"/>
                <w:sz w:val="18"/>
              </w:rPr>
              <w:t>Generated outputs</w:t>
            </w:r>
          </w:p>
        </w:tc>
        <w:tc>
          <w:tcPr>
            <w:tcW w:type="dxa" w:w="3360"/>
          </w:tcPr>
          <w:p>
            <w:r/>
            <w:r>
              <w:rPr>
                <w:b w:val="0"/>
                <w:sz w:val="18"/>
              </w:rPr>
              <w:t>runtime outputs, result tables, report artifacts - gitignored where generated</w:t>
            </w:r>
          </w:p>
        </w:tc>
      </w:tr>
    </w:tbl>
    <w:p>
      <w:pPr>
        <w:pStyle w:val="Heading1"/>
      </w:pPr>
      <w:r>
        <w:t>3. Main Entry Points</w:t>
      </w:r>
    </w:p>
    <w:p>
      <w:r>
        <w:t>Signal should have two conceptual entry points: one for base calibration and one for experiments. The calibration entry prepares the benchmark economy. The experiment entry applies shocks to calibrated parameters, solves or approximates the scenario, and generates reports.</w:t>
      </w:r>
    </w:p>
    <w:p>
      <w:pPr>
        <w:pStyle w:val="ListBullet"/>
      </w:pPr>
      <w:r>
        <w:t>Calibration entry: validates the workbook/SAM, reads sets and mappings, computes calibration parameters, initializes variables, and runs calibration checks.</w:t>
      </w:r>
    </w:p>
    <w:p>
      <w:pPr>
        <w:pStyle w:val="ListBullet"/>
      </w:pPr>
      <w:r>
        <w:t>Experiment entry: loads the calibrated benchmark state, reads scenario definitions, applies shocks through simulation containers, executes simulations, and reports results.</w:t>
      </w:r>
    </w:p>
    <w:p>
      <w:pPr>
        <w:pStyle w:val="ListBullet"/>
      </w:pPr>
      <w:r>
        <w:t>AI entry: accepts natural-language questions, compiles scenarios, selects closures, checks readiness, and explains results.</w:t>
      </w:r>
    </w:p>
    <w:p>
      <w:pPr>
        <w:pStyle w:val="Heading1"/>
      </w:pPr>
      <w:r>
        <w:t>4. Model Data Workbook Requirements</w:t>
      </w:r>
    </w:p>
    <w:p>
      <w:r>
        <w:t>Signal should support an Excel-based model database that contains the information needed to calibrate the model. The minimum workbook should include SAM, account notes, layout metadata, sets, mappings, production nesting, controls, factor use, elasticities, and optional demographic/nutrition/dynamic data.</w:t>
      </w:r>
    </w:p>
    <w:tbl>
      <w:tblPr>
        <w:tblW w:type="auto" w:w="0"/>
        <w:tblLook w:firstColumn="1" w:firstRow="1" w:lastColumn="0" w:lastRow="0" w:noHBand="0" w:noVBand="1" w:val="04A0"/>
      </w:tblPr>
      <w:tblGrid>
        <w:gridCol w:w="5040"/>
        <w:gridCol w:w="5040"/>
      </w:tblGrid>
      <w:tr>
        <w:tc>
          <w:tcPr>
            <w:tcW w:type="dxa" w:w="5040"/>
            <w:shd w:fill="D9EAF7"/>
          </w:tcPr>
          <w:p>
            <w:r/>
            <w:r>
              <w:rPr>
                <w:b/>
                <w:sz w:val="18"/>
              </w:rPr>
              <w:t>Worksheet</w:t>
            </w:r>
          </w:p>
        </w:tc>
        <w:tc>
          <w:tcPr>
            <w:tcW w:type="dxa" w:w="5040"/>
            <w:shd w:fill="D9EAF7"/>
          </w:tcPr>
          <w:p>
            <w:r/>
            <w:r>
              <w:rPr>
                <w:b/>
                <w:sz w:val="18"/>
              </w:rPr>
              <w:t>Signal use</w:t>
            </w:r>
          </w:p>
        </w:tc>
      </w:tr>
      <w:tr>
        <w:tc>
          <w:tcPr>
            <w:tcW w:type="dxa" w:w="5040"/>
          </w:tcPr>
          <w:p>
            <w:r/>
            <w:r>
              <w:rPr>
                <w:b w:val="0"/>
                <w:sz w:val="18"/>
              </w:rPr>
              <w:t>Notes</w:t>
            </w:r>
          </w:p>
        </w:tc>
        <w:tc>
          <w:tcPr>
            <w:tcW w:type="dxa" w:w="5040"/>
          </w:tcPr>
          <w:p>
            <w:r/>
            <w:r>
              <w:rPr>
                <w:b w:val="0"/>
                <w:sz w:val="18"/>
              </w:rPr>
              <w:t>Account codes, descriptions, and group types.</w:t>
            </w:r>
          </w:p>
        </w:tc>
      </w:tr>
      <w:tr>
        <w:tc>
          <w:tcPr>
            <w:tcW w:type="dxa" w:w="5040"/>
          </w:tcPr>
          <w:p>
            <w:r/>
            <w:r>
              <w:rPr>
                <w:b w:val="0"/>
                <w:sz w:val="18"/>
              </w:rPr>
              <w:t>SAM</w:t>
            </w:r>
          </w:p>
        </w:tc>
        <w:tc>
          <w:tcPr>
            <w:tcW w:type="dxa" w:w="5040"/>
          </w:tcPr>
          <w:p>
            <w:r/>
            <w:r>
              <w:rPr>
                <w:b w:val="0"/>
                <w:sz w:val="18"/>
              </w:rPr>
              <w:t>Balanced Social Accounting Matrix used for base-year calibration.</w:t>
            </w:r>
          </w:p>
        </w:tc>
      </w:tr>
      <w:tr>
        <w:tc>
          <w:tcPr>
            <w:tcW w:type="dxa" w:w="5040"/>
          </w:tcPr>
          <w:p>
            <w:r/>
            <w:r>
              <w:rPr>
                <w:b w:val="0"/>
                <w:sz w:val="18"/>
              </w:rPr>
              <w:t>Layout</w:t>
            </w:r>
          </w:p>
        </w:tc>
        <w:tc>
          <w:tcPr>
            <w:tcW w:type="dxa" w:w="5040"/>
          </w:tcPr>
          <w:p>
            <w:r/>
            <w:r>
              <w:rPr>
                <w:b w:val="0"/>
                <w:sz w:val="18"/>
              </w:rPr>
              <w:t>Metadata describing which sets/parameters are read from the workbook.</w:t>
            </w:r>
          </w:p>
        </w:tc>
      </w:tr>
      <w:tr>
        <w:tc>
          <w:tcPr>
            <w:tcW w:type="dxa" w:w="5040"/>
          </w:tcPr>
          <w:p>
            <w:r/>
            <w:r>
              <w:rPr>
                <w:b w:val="0"/>
                <w:sz w:val="18"/>
              </w:rPr>
              <w:t>Sets</w:t>
            </w:r>
          </w:p>
        </w:tc>
        <w:tc>
          <w:tcPr>
            <w:tcW w:type="dxa" w:w="5040"/>
          </w:tcPr>
          <w:p>
            <w:r/>
            <w:r>
              <w:rPr>
                <w:b w:val="0"/>
                <w:sz w:val="18"/>
              </w:rPr>
              <w:t>SAM account sets and subsets for commodities, activities, factors, households, government, taxes, savings-investment, regions, and care categories.</w:t>
            </w:r>
          </w:p>
        </w:tc>
      </w:tr>
      <w:tr>
        <w:tc>
          <w:tcPr>
            <w:tcW w:type="dxa" w:w="5040"/>
          </w:tcPr>
          <w:p>
            <w:r/>
            <w:r>
              <w:rPr>
                <w:b w:val="0"/>
                <w:sz w:val="18"/>
              </w:rPr>
              <w:t>Maps</w:t>
            </w:r>
          </w:p>
        </w:tc>
        <w:tc>
          <w:tcPr>
            <w:tcW w:type="dxa" w:w="5040"/>
          </w:tcPr>
          <w:p>
            <w:r/>
            <w:r>
              <w:rPr>
                <w:b w:val="0"/>
                <w:sz w:val="18"/>
              </w:rPr>
              <w:t>Mappings between related account labels, production archetypes, commodity groups, regions, and tax accounts.</w:t>
            </w:r>
          </w:p>
        </w:tc>
      </w:tr>
      <w:tr>
        <w:tc>
          <w:tcPr>
            <w:tcW w:type="dxa" w:w="5040"/>
          </w:tcPr>
          <w:p>
            <w:r/>
            <w:r>
              <w:rPr>
                <w:b w:val="0"/>
                <w:sz w:val="18"/>
              </w:rPr>
              <w:t>ProdNest</w:t>
            </w:r>
          </w:p>
        </w:tc>
        <w:tc>
          <w:tcPr>
            <w:tcW w:type="dxa" w:w="5040"/>
          </w:tcPr>
          <w:p>
            <w:r/>
            <w:r>
              <w:rPr>
                <w:b w:val="0"/>
                <w:sz w:val="18"/>
              </w:rPr>
              <w:t>Production nesting structure and bundle membership.</w:t>
            </w:r>
          </w:p>
        </w:tc>
      </w:tr>
      <w:tr>
        <w:tc>
          <w:tcPr>
            <w:tcW w:type="dxa" w:w="5040"/>
          </w:tcPr>
          <w:p>
            <w:r/>
            <w:r>
              <w:rPr>
                <w:b w:val="0"/>
                <w:sz w:val="18"/>
              </w:rPr>
              <w:t>Controls</w:t>
            </w:r>
          </w:p>
        </w:tc>
        <w:tc>
          <w:tcPr>
            <w:tcW w:type="dxa" w:w="5040"/>
          </w:tcPr>
          <w:p>
            <w:r/>
            <w:r>
              <w:rPr>
                <w:b w:val="0"/>
                <w:sz w:val="18"/>
              </w:rPr>
              <w:t>Model controls such as numerical checks, scaling, tolerances, and reporting switches.</w:t>
            </w:r>
          </w:p>
        </w:tc>
      </w:tr>
      <w:tr>
        <w:tc>
          <w:tcPr>
            <w:tcW w:type="dxa" w:w="5040"/>
          </w:tcPr>
          <w:p>
            <w:r/>
            <w:r>
              <w:rPr>
                <w:b w:val="0"/>
                <w:sz w:val="18"/>
              </w:rPr>
              <w:t>Factuse</w:t>
            </w:r>
          </w:p>
        </w:tc>
        <w:tc>
          <w:tcPr>
            <w:tcW w:type="dxa" w:w="5040"/>
          </w:tcPr>
          <w:p>
            <w:r/>
            <w:r>
              <w:rPr>
                <w:b w:val="0"/>
                <w:sz w:val="18"/>
              </w:rPr>
              <w:t>Optional physical factor-use quantities such as hours worked, employment, land, or capital quantities.</w:t>
            </w:r>
          </w:p>
        </w:tc>
      </w:tr>
      <w:tr>
        <w:tc>
          <w:tcPr>
            <w:tcW w:type="dxa" w:w="5040"/>
          </w:tcPr>
          <w:p>
            <w:r/>
            <w:r>
              <w:rPr>
                <w:b w:val="0"/>
                <w:sz w:val="18"/>
              </w:rPr>
              <w:t>UE_rate</w:t>
            </w:r>
          </w:p>
        </w:tc>
        <w:tc>
          <w:tcPr>
            <w:tcW w:type="dxa" w:w="5040"/>
          </w:tcPr>
          <w:p>
            <w:r/>
            <w:r>
              <w:rPr>
                <w:b w:val="0"/>
                <w:sz w:val="18"/>
              </w:rPr>
              <w:t>Optional unemployment or factor supply information.</w:t>
            </w:r>
          </w:p>
        </w:tc>
      </w:tr>
      <w:tr>
        <w:tc>
          <w:tcPr>
            <w:tcW w:type="dxa" w:w="5040"/>
          </w:tcPr>
          <w:p>
            <w:r/>
            <w:r>
              <w:rPr>
                <w:b w:val="0"/>
                <w:sz w:val="18"/>
              </w:rPr>
              <w:t>Elasticity sheets</w:t>
            </w:r>
          </w:p>
        </w:tc>
        <w:tc>
          <w:tcPr>
            <w:tcW w:type="dxa" w:w="5040"/>
          </w:tcPr>
          <w:p>
            <w:r/>
            <w:r>
              <w:rPr>
                <w:b w:val="0"/>
                <w:sz w:val="18"/>
              </w:rPr>
              <w:t>Commodity, activity, factor, household, and demand-system elasticities.</w:t>
            </w:r>
          </w:p>
        </w:tc>
      </w:tr>
      <w:tr>
        <w:tc>
          <w:tcPr>
            <w:tcW w:type="dxa" w:w="5040"/>
          </w:tcPr>
          <w:p>
            <w:r/>
            <w:r>
              <w:rPr>
                <w:b w:val="0"/>
                <w:sz w:val="18"/>
              </w:rPr>
              <w:t>Dyn_data</w:t>
            </w:r>
          </w:p>
        </w:tc>
        <w:tc>
          <w:tcPr>
            <w:tcW w:type="dxa" w:w="5040"/>
          </w:tcPr>
          <w:p>
            <w:r/>
            <w:r>
              <w:rPr>
                <w:b w:val="0"/>
                <w:sz w:val="18"/>
              </w:rPr>
              <w:t>Optional recursive dynamic parameters and baseline projection inputs.</w:t>
            </w:r>
          </w:p>
        </w:tc>
      </w:tr>
    </w:tbl>
    <w:p>
      <w:pPr>
        <w:pStyle w:val="Heading1"/>
      </w:pPr>
      <w:r>
        <w:t>5. Calibration Workflow</w:t>
      </w:r>
    </w:p>
    <w:p>
      <w:pPr>
        <w:pStyle w:val="ListNumber"/>
      </w:pPr>
      <w:r>
        <w:t>Load workbook and SAM.</w:t>
      </w:r>
    </w:p>
    <w:p>
      <w:pPr>
        <w:pStyle w:val="ListNumber"/>
      </w:pPr>
      <w:r>
        <w:t>Validate square SAM and matching row/column accounts.</w:t>
      </w:r>
    </w:p>
    <w:p>
      <w:pPr>
        <w:pStyle w:val="ListNumber"/>
      </w:pPr>
      <w:r>
        <w:t>Validate sets, maps, and workbook syntax.</w:t>
      </w:r>
    </w:p>
    <w:p>
      <w:pPr>
        <w:pStyle w:val="ListNumber"/>
      </w:pPr>
      <w:r>
        <w:t>Scale data where required.</w:t>
      </w:r>
    </w:p>
    <w:p>
      <w:pPr>
        <w:pStyle w:val="ListNumber"/>
      </w:pPr>
      <w:r>
        <w:t>Extract benchmark flows.</w:t>
      </w:r>
    </w:p>
    <w:p>
      <w:pPr>
        <w:pStyle w:val="ListNumber"/>
      </w:pPr>
      <w:r>
        <w:t>Calibrate share parameters and base-year quantities/prices.</w:t>
      </w:r>
    </w:p>
    <w:p>
      <w:pPr>
        <w:pStyle w:val="ListNumber"/>
      </w:pPr>
      <w:r>
        <w:t>Initialize variables at benchmark levels.</w:t>
      </w:r>
    </w:p>
    <w:p>
      <w:pPr>
        <w:pStyle w:val="ListNumber"/>
      </w:pPr>
      <w:r>
        <w:t>Run calibration checks.</w:t>
      </w:r>
    </w:p>
    <w:p>
      <w:pPr>
        <w:pStyle w:val="ListNumber"/>
      </w:pPr>
      <w:r>
        <w:t>Create a calibrated state object for simulations.</w:t>
      </w:r>
    </w:p>
    <w:p>
      <w:pPr>
        <w:pStyle w:val="Heading1"/>
      </w:pPr>
      <w:r>
        <w:t>6. Required Calibration Checks</w:t>
      </w:r>
    </w:p>
    <w:tbl>
      <w:tblPr>
        <w:tblW w:type="auto" w:w="0"/>
        <w:tblLook w:firstColumn="1" w:firstRow="1" w:lastColumn="0" w:lastRow="0" w:noHBand="0" w:noVBand="1" w:val="04A0"/>
      </w:tblPr>
      <w:tblGrid>
        <w:gridCol w:w="5040"/>
        <w:gridCol w:w="5040"/>
      </w:tblGrid>
      <w:tr>
        <w:tc>
          <w:tcPr>
            <w:tcW w:type="dxa" w:w="5040"/>
            <w:shd w:fill="D9EAF7"/>
          </w:tcPr>
          <w:p>
            <w:r/>
            <w:r>
              <w:rPr>
                <w:b/>
                <w:sz w:val="18"/>
              </w:rPr>
              <w:t>Check</w:t>
            </w:r>
          </w:p>
        </w:tc>
        <w:tc>
          <w:tcPr>
            <w:tcW w:type="dxa" w:w="5040"/>
            <w:shd w:fill="D9EAF7"/>
          </w:tcPr>
          <w:p>
            <w:r/>
            <w:r>
              <w:rPr>
                <w:b/>
                <w:sz w:val="18"/>
              </w:rPr>
              <w:t>Purpose</w:t>
            </w:r>
          </w:p>
        </w:tc>
      </w:tr>
      <w:tr>
        <w:tc>
          <w:tcPr>
            <w:tcW w:type="dxa" w:w="5040"/>
          </w:tcPr>
          <w:p>
            <w:r/>
            <w:r>
              <w:rPr>
                <w:b w:val="0"/>
                <w:sz w:val="18"/>
              </w:rPr>
              <w:t>SAM balance check</w:t>
            </w:r>
          </w:p>
        </w:tc>
        <w:tc>
          <w:tcPr>
            <w:tcW w:type="dxa" w:w="5040"/>
          </w:tcPr>
          <w:p>
            <w:r/>
            <w:r>
              <w:rPr>
                <w:b w:val="0"/>
                <w:sz w:val="18"/>
              </w:rPr>
              <w:t>Rows and columns must balance within tolerance.</w:t>
            </w:r>
          </w:p>
        </w:tc>
      </w:tr>
      <w:tr>
        <w:tc>
          <w:tcPr>
            <w:tcW w:type="dxa" w:w="5040"/>
          </w:tcPr>
          <w:p>
            <w:r/>
            <w:r>
              <w:rPr>
                <w:b w:val="0"/>
                <w:sz w:val="18"/>
              </w:rPr>
              <w:t>Negative-entry check</w:t>
            </w:r>
          </w:p>
        </w:tc>
        <w:tc>
          <w:tcPr>
            <w:tcW w:type="dxa" w:w="5040"/>
          </w:tcPr>
          <w:p>
            <w:r/>
            <w:r>
              <w:rPr>
                <w:b w:val="0"/>
                <w:sz w:val="18"/>
              </w:rPr>
              <w:t>Flag negative values unless explicitly allowed by account type.</w:t>
            </w:r>
          </w:p>
        </w:tc>
      </w:tr>
      <w:tr>
        <w:tc>
          <w:tcPr>
            <w:tcW w:type="dxa" w:w="5040"/>
          </w:tcPr>
          <w:p>
            <w:r/>
            <w:r>
              <w:rPr>
                <w:b w:val="0"/>
                <w:sz w:val="18"/>
              </w:rPr>
              <w:t>Replication check</w:t>
            </w:r>
          </w:p>
        </w:tc>
        <w:tc>
          <w:tcPr>
            <w:tcW w:type="dxa" w:w="5040"/>
          </w:tcPr>
          <w:p>
            <w:r/>
            <w:r>
              <w:rPr>
                <w:b w:val="0"/>
                <w:sz w:val="18"/>
              </w:rPr>
              <w:t>Base-year calibrated values should reproduce the benchmark SAM.</w:t>
            </w:r>
          </w:p>
        </w:tc>
      </w:tr>
      <w:tr>
        <w:tc>
          <w:tcPr>
            <w:tcW w:type="dxa" w:w="5040"/>
          </w:tcPr>
          <w:p>
            <w:r/>
            <w:r>
              <w:rPr>
                <w:b w:val="0"/>
                <w:sz w:val="18"/>
              </w:rPr>
              <w:t>Walras check</w:t>
            </w:r>
          </w:p>
        </w:tc>
        <w:tc>
          <w:tcPr>
            <w:tcW w:type="dxa" w:w="5040"/>
          </w:tcPr>
          <w:p>
            <w:r/>
            <w:r>
              <w:rPr>
                <w:b w:val="0"/>
                <w:sz w:val="18"/>
              </w:rPr>
              <w:t>Residual market imbalance should be zero or close to zero.</w:t>
            </w:r>
          </w:p>
        </w:tc>
      </w:tr>
      <w:tr>
        <w:tc>
          <w:tcPr>
            <w:tcW w:type="dxa" w:w="5040"/>
          </w:tcPr>
          <w:p>
            <w:r/>
            <w:r>
              <w:rPr>
                <w:b w:val="0"/>
                <w:sz w:val="18"/>
              </w:rPr>
              <w:t>Homogeneity check</w:t>
            </w:r>
          </w:p>
        </w:tc>
        <w:tc>
          <w:tcPr>
            <w:tcW w:type="dxa" w:w="5040"/>
          </w:tcPr>
          <w:p>
            <w:r/>
            <w:r>
              <w:rPr>
                <w:b w:val="0"/>
                <w:sz w:val="18"/>
              </w:rPr>
              <w:t>Real model results should be independent of the choice of numeraire.</w:t>
            </w:r>
          </w:p>
        </w:tc>
      </w:tr>
      <w:tr>
        <w:tc>
          <w:tcPr>
            <w:tcW w:type="dxa" w:w="5040"/>
          </w:tcPr>
          <w:p>
            <w:r/>
            <w:r>
              <w:rPr>
                <w:b w:val="0"/>
                <w:sz w:val="18"/>
              </w:rPr>
              <w:t>Infeasibility check</w:t>
            </w:r>
          </w:p>
        </w:tc>
        <w:tc>
          <w:tcPr>
            <w:tcW w:type="dxa" w:w="5040"/>
          </w:tcPr>
          <w:p>
            <w:r/>
            <w:r>
              <w:rPr>
                <w:b w:val="0"/>
                <w:sz w:val="18"/>
              </w:rPr>
              <w:t>Equation residuals should be within solver tolerance at initialized base values.</w:t>
            </w:r>
          </w:p>
        </w:tc>
      </w:tr>
    </w:tbl>
    <w:p>
      <w:pPr>
        <w:pStyle w:val="Heading1"/>
      </w:pPr>
      <w:r>
        <w:t>7. Closure System</w:t>
      </w:r>
    </w:p>
    <w:p>
      <w:r>
        <w:t>Signal should make closure rules explicit and selectable. The default closure should support base calibration, static comparative scenarios, and recursive dynamic runs.</w:t>
      </w:r>
    </w:p>
    <w:p>
      <w:pPr>
        <w:pStyle w:val="ListBullet"/>
      </w:pPr>
      <w:r>
        <w:t>Base closure for benchmark replication.</w:t>
      </w:r>
    </w:p>
    <w:p>
      <w:pPr>
        <w:pStyle w:val="ListBullet"/>
      </w:pPr>
      <w:r>
        <w:t>Static closure for comparative policy simulation.</w:t>
      </w:r>
    </w:p>
    <w:p>
      <w:pPr>
        <w:pStyle w:val="ListBullet"/>
      </w:pPr>
      <w:r>
        <w:t>Dynamic closure for recursive baseline and period-by-period updates.</w:t>
      </w:r>
    </w:p>
    <w:p>
      <w:pPr>
        <w:pStyle w:val="ListBullet"/>
      </w:pPr>
      <w:r>
        <w:t>Alternative closures for savings-investment balance, government balance, foreign savings, exchange rate, and factor-market assumptions.</w:t>
      </w:r>
    </w:p>
    <w:p>
      <w:pPr>
        <w:pStyle w:val="Heading1"/>
      </w:pPr>
      <w:r>
        <w:t>8. Experiment and Scenario Engine</w:t>
      </w:r>
    </w:p>
    <w:p>
      <w:r>
        <w:t>Signal scenarios should be stored as simulation containers before they affect model equations. This prevents accidental changes to the calibrated model and makes shocks transparent, auditable, and explainable.</w:t>
      </w:r>
    </w:p>
    <w:p>
      <w:pPr>
        <w:pStyle w:val="ListNumber"/>
      </w:pPr>
      <w:r>
        <w:t>Declare simulation set and baseline.</w:t>
      </w:r>
    </w:p>
    <w:p>
      <w:pPr>
        <w:pStyle w:val="ListNumber"/>
      </w:pPr>
      <w:r>
        <w:t>Initialize shock containers using base values.</w:t>
      </w:r>
    </w:p>
    <w:p>
      <w:pPr>
        <w:pStyle w:val="ListNumber"/>
      </w:pPr>
      <w:r>
        <w:t>Apply policy shocks to containers.</w:t>
      </w:r>
    </w:p>
    <w:p>
      <w:pPr>
        <w:pStyle w:val="ListNumber"/>
      </w:pPr>
      <w:r>
        <w:t>Transfer container values to active model parameters inside the simulation loop.</w:t>
      </w:r>
    </w:p>
    <w:p>
      <w:pPr>
        <w:pStyle w:val="ListNumber"/>
      </w:pPr>
      <w:r>
        <w:t>Solve or approximate the scenario.</w:t>
      </w:r>
    </w:p>
    <w:p>
      <w:pPr>
        <w:pStyle w:val="ListNumber"/>
      </w:pPr>
      <w:r>
        <w:t>Store level results and changes from baseline.</w:t>
      </w:r>
    </w:p>
    <w:p>
      <w:pPr>
        <w:pStyle w:val="Heading1"/>
      </w:pPr>
      <w:r>
        <w:t>9. Results and Reporting</w:t>
      </w:r>
    </w:p>
    <w:p>
      <w:r>
        <w:t>Signal should generate standardised outputs after every run. The reporting layer should be independent of the solver and support dashboards, downloads, and policy briefs.</w:t>
      </w:r>
    </w:p>
    <w:p>
      <w:pPr>
        <w:pStyle w:val="ListBullet"/>
      </w:pPr>
      <w:r>
        <w:t>Level results</w:t>
      </w:r>
    </w:p>
    <w:p>
      <w:pPr>
        <w:pStyle w:val="ListBullet"/>
      </w:pPr>
      <w:r>
        <w:t>Differences from baseline</w:t>
      </w:r>
    </w:p>
    <w:p>
      <w:pPr>
        <w:pStyle w:val="ListBullet"/>
      </w:pPr>
      <w:r>
        <w:t>Percentage changes from baseline</w:t>
      </w:r>
    </w:p>
    <w:p>
      <w:pPr>
        <w:pStyle w:val="ListBullet"/>
      </w:pPr>
      <w:r>
        <w:t>Macro indicators</w:t>
      </w:r>
    </w:p>
    <w:p>
      <w:pPr>
        <w:pStyle w:val="ListBullet"/>
      </w:pPr>
      <w:r>
        <w:t>Welfare indicators</w:t>
      </w:r>
    </w:p>
    <w:p>
      <w:pPr>
        <w:pStyle w:val="ListBullet"/>
      </w:pPr>
      <w:r>
        <w:t>Structural indicators</w:t>
      </w:r>
    </w:p>
    <w:p>
      <w:pPr>
        <w:pStyle w:val="ListBullet"/>
      </w:pPr>
      <w:r>
        <w:t>Factor-market indicators</w:t>
      </w:r>
    </w:p>
    <w:p>
      <w:pPr>
        <w:pStyle w:val="ListBullet"/>
      </w:pPr>
      <w:r>
        <w:t>Household and gender-care indicators</w:t>
      </w:r>
    </w:p>
    <w:p>
      <w:pPr>
        <w:pStyle w:val="ListBullet"/>
      </w:pPr>
      <w:r>
        <w:t>Policy brief summary</w:t>
      </w:r>
    </w:p>
    <w:p>
      <w:pPr>
        <w:pStyle w:val="Heading1"/>
      </w:pPr>
      <w:r>
        <w:t>10. AI CGE Chat Studio Integration</w:t>
      </w:r>
    </w:p>
    <w:p>
      <w:r>
        <w:t>The AI layer should not bypass the formal workflow. It should compile user prompts into structured scenario objects, check readiness, select or request closures, run validation, trigger the appropriate solver path, and explain results.</w:t>
      </w:r>
    </w:p>
    <w:p>
      <w:pPr>
        <w:pStyle w:val="Heading1"/>
      </w:pPr>
      <w:r>
        <w:t>11. Repository Storage Recommendation</w:t>
      </w:r>
    </w:p>
    <w:p>
      <w:r>
        <w:t>Store this adapted guide and associated implementation notes in the repository under:</w:t>
      </w:r>
    </w:p>
    <w:p>
      <w:pPr>
        <w:pStyle w:val="IntenseQuote"/>
      </w:pPr>
      <w:r>
        <w:t>signal_cge/canonical_reference/signal_cge_reference/docs/</w:t>
      </w:r>
    </w:p>
    <w:p>
      <w:r>
        <w:t>Store generated runtime outputs, binary solver files, logs, and temporary workfiles outside Git or under ignored result folders.</w:t>
      </w:r>
    </w:p>
    <w:p>
      <w:pPr>
        <w:pStyle w:val="Heading1"/>
      </w:pPr>
      <w:r>
        <w:t>12. Implementation Status Labels</w:t>
      </w:r>
    </w:p>
    <w:p>
      <w:pPr>
        <w:pStyle w:val="ListBullet"/>
      </w:pPr>
      <w:r>
        <w:t>Ready: feature implemented and tested.</w:t>
      </w:r>
    </w:p>
    <w:p>
      <w:pPr>
        <w:pStyle w:val="ListBullet"/>
      </w:pPr>
      <w:r>
        <w:t>Partial: prototype implemented but not full equilibrium CGE.</w:t>
      </w:r>
    </w:p>
    <w:p>
      <w:pPr>
        <w:pStyle w:val="ListBullet"/>
      </w:pPr>
      <w:r>
        <w:t>Placeholder: structure exists but solver/equation logic is not complete.</w:t>
      </w:r>
    </w:p>
    <w:p>
      <w:pPr>
        <w:pStyle w:val="ListBullet"/>
      </w:pPr>
      <w:r>
        <w:t>Unavailable: depends on optional external software or future solver development.</w:t>
      </w:r>
    </w:p>
    <w:p>
      <w:r>
        <w:br w:type="page"/>
      </w:r>
    </w:p>
    <w:p>
      <w:pPr>
        <w:pStyle w:val="Heading1"/>
      </w:pPr>
      <w:r>
        <w:t>Appendix A: Codex Implementation Prompt</w:t>
      </w:r>
    </w:p>
    <w:p>
      <w:r>
        <w:t>Store and integrate the Signal CGE adapted reference package into the repository.</w:t>
      </w:r>
    </w:p>
    <w:p/>
    <w:p>
      <w:r>
        <w:t>Tasks:</w:t>
      </w:r>
    </w:p>
    <w:p>
      <w:r>
        <w:t>1. Create signal_cge/canonical_reference/signal_cge_reference/docs/.</w:t>
      </w:r>
    </w:p>
    <w:p>
      <w:r>
        <w:t>2. Add Signal_CGE_User_Guide_Adapted.docx and Signal_CGE_User_Guide_Adapted.pdf to that folder if file sizes are acceptable.</w:t>
      </w:r>
    </w:p>
    <w:p>
      <w:r>
        <w:t>3. Add docs/SIGNAL_CGE_REFERENCE_README.md explaining that this is a Signal-native adapted guide for implementation.</w:t>
      </w:r>
    </w:p>
    <w:p>
      <w:r>
        <w:t>4. Do not commit generated runtime outputs, GDX/G00 files, logs, local paths, secrets, or large binaries.</w:t>
      </w:r>
    </w:p>
    <w:p>
      <w:r>
        <w:t>5. Ensure .gitignore excludes *.gdx, *.g00, *.lst, *.log, *.tmp, *.bak, 00_Save/, 10_gdx/, and generated results folders.</w:t>
      </w:r>
    </w:p>
    <w:p>
      <w:r>
        <w:t>6. Update Documentation/SIGNAL_CGE_DOCUMENTATION_INDEX.md to link to the adapted Signal CGE guide.</w:t>
      </w:r>
    </w:p>
    <w:p>
      <w:r>
        <w:t>7. Update README.md with a short note under Signal CGE Architecture.</w:t>
      </w:r>
    </w:p>
    <w:p>
      <w:r>
        <w:t>8. Run python -m pytest -q.</w:t>
      </w:r>
    </w:p>
    <w:p>
      <w:r>
        <w:t>9. Commit with: git commit -m "Add Signal CGE adapted reference guide".</w:t>
      </w:r>
    </w:p>
    <w:p>
      <w:r>
        <w:t>10. Do not push automatically.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