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W w:w="946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46"/>
        <w:gridCol w:w="3337"/>
        <w:gridCol w:w="2342"/>
        <w:gridCol w:w="2440"/>
      </w:tblGrid>
      <w:tr w:rsidR="002F5F3C" w14:paraId="0A3BDC4C" w14:textId="77777777" w:rsidTr="00B1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016C3" w14:textId="77777777" w:rsidR="002F5F3C" w:rsidRPr="00B808F9" w:rsidRDefault="002F5F3C">
            <w:pPr>
              <w:spacing w:line="240" w:lineRule="auto"/>
              <w:jc w:val="center"/>
              <w:rPr>
                <w:color w:val="4472C4" w:themeColor="accent1"/>
              </w:rPr>
            </w:pPr>
            <w:r w:rsidRPr="00B808F9">
              <w:rPr>
                <w:color w:val="4472C4" w:themeColor="accent1"/>
              </w:rPr>
              <w:t>Size/System</w:t>
            </w:r>
          </w:p>
        </w:tc>
        <w:tc>
          <w:tcPr>
            <w:tcW w:w="8119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F62F7A" w14:textId="3C41BCC7" w:rsidR="002F5F3C" w:rsidRPr="002433CB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>Intel Core i3-7100</w:t>
            </w:r>
            <w:r w:rsidR="004F0570"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Dual Core</w:t>
            </w: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@ 3.90GHz (CPU)</w:t>
            </w:r>
          </w:p>
          <w:p w14:paraId="1D881FE2" w14:textId="77777777" w:rsidR="002F5F3C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33CB">
              <w:rPr>
                <w:color w:val="4472C4" w:themeColor="accent1"/>
                <w:sz w:val="28"/>
                <w:szCs w:val="28"/>
              </w:rPr>
              <w:t xml:space="preserve">Nvidia </w:t>
            </w:r>
            <w:proofErr w:type="spellStart"/>
            <w:r w:rsidRPr="002433CB">
              <w:rPr>
                <w:color w:val="4472C4" w:themeColor="accent1"/>
                <w:sz w:val="28"/>
                <w:szCs w:val="28"/>
              </w:rPr>
              <w:t>Geforce</w:t>
            </w:r>
            <w:proofErr w:type="spellEnd"/>
            <w:r w:rsidRPr="002433CB">
              <w:rPr>
                <w:color w:val="4472C4" w:themeColor="accent1"/>
                <w:sz w:val="28"/>
                <w:szCs w:val="28"/>
              </w:rPr>
              <w:t xml:space="preserve"> GTX 1050 TI (GPU)</w:t>
            </w:r>
          </w:p>
        </w:tc>
      </w:tr>
      <w:tr w:rsidR="002F5F3C" w14:paraId="78995D61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57F161E" w14:textId="77777777" w:rsidR="002F5F3C" w:rsidRDefault="002F5F3C">
            <w:pPr>
              <w:spacing w:line="240" w:lineRule="auto"/>
              <w:jc w:val="center"/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78053D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Method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411C476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Speed(seconds)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4EB0E88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Speedup(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Ts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Tp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F5F3C" w14:paraId="2D6BEEBF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05AAF" w14:textId="5C4FA100" w:rsidR="002F5F3C" w:rsidRPr="00007D22" w:rsidRDefault="006E0AB4" w:rsidP="006E0AB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096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C3BC9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61470" w14:textId="578154B4" w:rsidR="002F5F3C" w:rsidRPr="00E07D51" w:rsidRDefault="008C5D0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07D51">
              <w:rPr>
                <w:color w:val="FF0000"/>
              </w:rPr>
              <w:t>1.90</w:t>
            </w:r>
            <w:r w:rsidR="00E60DE1" w:rsidRPr="00E07D51">
              <w:rPr>
                <w:color w:val="FF0000"/>
              </w:rPr>
              <w:t>7368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17EB0001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F3C" w14:paraId="2CC36FF2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B2DAB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7CB92E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C9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D8DD5F" w14:textId="4987769F" w:rsidR="002F5F3C" w:rsidRPr="003C30C9" w:rsidRDefault="003C30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0.4545</w:t>
            </w:r>
            <w:r w:rsidR="00350863">
              <w:rPr>
                <w:color w:val="BF8F00" w:themeColor="accent4" w:themeShade="BF"/>
              </w:rPr>
              <w:t>88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B1602D" w14:textId="795AFA28" w:rsidR="002F5F3C" w:rsidRPr="00A65534" w:rsidRDefault="00B12D45" w:rsidP="00B12D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4.1958 (419</w:t>
            </w:r>
            <w:r w:rsidR="00751FCF" w:rsidRPr="00A65534">
              <w:rPr>
                <w:i/>
                <w:color w:val="BF8F00" w:themeColor="accent4" w:themeShade="BF"/>
              </w:rPr>
              <w:t>.58 %)</w:t>
            </w:r>
          </w:p>
        </w:tc>
      </w:tr>
      <w:tr w:rsidR="002F5F3C" w14:paraId="1F44B9B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0AA695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DA98" w14:textId="77777777" w:rsidR="002F5F3C" w:rsidRPr="00C12B3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2B3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A99E3C" w14:textId="268DC98A" w:rsidR="002F5F3C" w:rsidRPr="00C12B35" w:rsidRDefault="00C12B35" w:rsidP="00C12B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A2A8C">
              <w:rPr>
                <w:color w:val="00B050"/>
              </w:rPr>
              <w:t>04443002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28334C" w14:textId="50089FB0" w:rsidR="002F5F3C" w:rsidRPr="00A65534" w:rsidRDefault="00920777" w:rsidP="00920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42.929 (4292</w:t>
            </w:r>
            <w:r w:rsidR="00C56463" w:rsidRPr="00A65534">
              <w:rPr>
                <w:i/>
                <w:color w:val="00B050"/>
              </w:rPr>
              <w:t>.9 %)</w:t>
            </w:r>
          </w:p>
        </w:tc>
      </w:tr>
      <w:tr w:rsidR="002F5F3C" w14:paraId="1854E7D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A9633F2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F538BCD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3271CDA" w14:textId="6B0F865B" w:rsidR="002F5F3C" w:rsidRDefault="00BC1F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  <w:r w:rsidR="0079507E">
              <w:t>16807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E8AA7D2" w14:textId="28500EE7" w:rsidR="002F5F3C" w:rsidRPr="00A65534" w:rsidRDefault="00CF3127" w:rsidP="00CF31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A65534">
              <w:rPr>
                <w:rFonts w:ascii="Calibri" w:eastAsia="Calibri" w:hAnsi="Calibri" w:cs="Calibri"/>
                <w:i/>
              </w:rPr>
              <w:t>44.18</w:t>
            </w:r>
            <w:r w:rsidR="00DD5CE0" w:rsidRPr="00A65534">
              <w:rPr>
                <w:rFonts w:ascii="Calibri" w:eastAsia="Calibri" w:hAnsi="Calibri" w:cs="Calibri"/>
                <w:i/>
              </w:rPr>
              <w:t>4 (4418.6 %)</w:t>
            </w:r>
          </w:p>
        </w:tc>
      </w:tr>
      <w:tr w:rsidR="002F5F3C" w14:paraId="69EA4F20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4F5164" w14:textId="75E06D64" w:rsidR="002F5F3C" w:rsidRPr="00007D22" w:rsidRDefault="00347C81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16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 w:rsidR="00581BA7">
              <w:rPr>
                <w:color w:val="4472C4" w:themeColor="accent1"/>
                <w:sz w:val="24"/>
                <w:szCs w:val="24"/>
              </w:rPr>
              <w:t>384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22FD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21FBA9" w14:textId="2C654C34" w:rsidR="002F5F3C" w:rsidRPr="00E07D51" w:rsidRDefault="00EF391C" w:rsidP="00E07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347C81">
              <w:rPr>
                <w:color w:val="FF0000"/>
              </w:rPr>
              <w:t>.24149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21C050D9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F5F3C" w14:paraId="6966B2A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CEA649A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249F4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7BDF98" w14:textId="49C60A3B" w:rsidR="002F5F3C" w:rsidRPr="0087274F" w:rsidRDefault="008727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6.2</w:t>
            </w:r>
            <w:r w:rsidR="002B7875">
              <w:rPr>
                <w:color w:val="BF8F00" w:themeColor="accent4" w:themeShade="BF"/>
              </w:rPr>
              <w:t>14528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3DAEC6" w14:textId="23DBD048" w:rsidR="002F5F3C" w:rsidRPr="00A65534" w:rsidRDefault="00751FCF" w:rsidP="00751FC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</w:t>
            </w:r>
            <w:r w:rsidR="008316DC" w:rsidRPr="00A65534">
              <w:rPr>
                <w:i/>
                <w:color w:val="BF8F00" w:themeColor="accent4" w:themeShade="BF"/>
              </w:rPr>
              <w:t>9 (390 %)</w:t>
            </w:r>
          </w:p>
        </w:tc>
      </w:tr>
      <w:tr w:rsidR="002F5F3C" w14:paraId="078693CD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3DF960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8AF4E3" w14:textId="77777777" w:rsidR="002F5F3C" w:rsidRPr="005827C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827C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E195B7" w14:textId="3FFCD45D" w:rsidR="002F5F3C" w:rsidRPr="005827C5" w:rsidRDefault="005827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0.477581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393A84" w14:textId="54F15241" w:rsidR="002F5F3C" w:rsidRPr="00A65534" w:rsidRDefault="00BD4B83" w:rsidP="00BD4B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50.758 (5075.8 %)</w:t>
            </w:r>
          </w:p>
        </w:tc>
      </w:tr>
      <w:tr w:rsidR="002F5F3C" w14:paraId="3D81E2E3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50E0DBA4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D56F6F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6C4C8FFB" w14:textId="2C7B7081" w:rsidR="002F5F3C" w:rsidRDefault="009E4D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D14EA">
              <w:t>3654189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3C89DE" w14:textId="1C3B5F46" w:rsidR="002F5F3C" w:rsidRPr="00A65534" w:rsidRDefault="003B5DC5" w:rsidP="003B5D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66.338 (6633.8 %)</w:t>
            </w:r>
          </w:p>
        </w:tc>
      </w:tr>
      <w:tr w:rsidR="002F5F3C" w14:paraId="4A6F447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EA051E" w14:textId="3DD180DA" w:rsidR="002F5F3C" w:rsidRPr="00007D22" w:rsidRDefault="00C0762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65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5</w:t>
            </w:r>
            <w:r w:rsidR="00C152E4">
              <w:rPr>
                <w:color w:val="4472C4" w:themeColor="accent1"/>
                <w:sz w:val="24"/>
                <w:szCs w:val="24"/>
              </w:rPr>
              <w:t>36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D323E5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4D36B" w14:textId="6F702531" w:rsidR="002F5F3C" w:rsidRPr="00F75A50" w:rsidRDefault="00F75A50" w:rsidP="002C5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355.5284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4AFF97CC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F5F3C" w14:paraId="1576780F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9A2CE38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CE024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3A1FA8" w14:textId="3B8E4E62" w:rsidR="002F5F3C" w:rsidRPr="0087274F" w:rsidRDefault="00B272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9</w:t>
            </w:r>
            <w:r w:rsidR="00FD121C">
              <w:rPr>
                <w:color w:val="BF8F00" w:themeColor="accent4" w:themeShade="BF"/>
              </w:rPr>
              <w:t>8</w:t>
            </w:r>
            <w:r w:rsidR="00903A83">
              <w:rPr>
                <w:color w:val="BF8F00" w:themeColor="accent4" w:themeShade="BF"/>
              </w:rPr>
              <w:t>.96123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D3CE8" w14:textId="02E8B4CB" w:rsidR="002F5F3C" w:rsidRPr="00A65534" w:rsidRDefault="008C4F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3.592 (359.2 %)</w:t>
            </w:r>
          </w:p>
        </w:tc>
      </w:tr>
      <w:tr w:rsidR="002F5F3C" w14:paraId="52EA6BA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CE8A0F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7391C0" w14:textId="77777777" w:rsidR="002F5F3C" w:rsidRPr="00C152E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B35D1" w14:textId="64709579" w:rsidR="002F5F3C" w:rsidRPr="00C152E4" w:rsidRDefault="00C152E4" w:rsidP="00C15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</w:t>
            </w:r>
            <w:r w:rsidR="00243D13">
              <w:rPr>
                <w:color w:val="00B050"/>
              </w:rPr>
              <w:t>96616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3C35D7" w14:textId="4003ED28" w:rsidR="002F5F3C" w:rsidRPr="00A65534" w:rsidRDefault="002F0F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92D050"/>
              </w:rPr>
            </w:pPr>
            <w:r w:rsidRPr="00A65534">
              <w:rPr>
                <w:i/>
                <w:color w:val="00B050"/>
              </w:rPr>
              <w:t>62.41 (6241 %</w:t>
            </w:r>
            <w:r w:rsidR="002E6AAD" w:rsidRPr="00A65534">
              <w:rPr>
                <w:i/>
                <w:color w:val="00B050"/>
              </w:rPr>
              <w:t>)</w:t>
            </w:r>
          </w:p>
        </w:tc>
      </w:tr>
      <w:tr w:rsidR="00B16706" w14:paraId="5B82B63E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063174EA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325ED6C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B634D3C" w14:textId="094A5465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5.450865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B97040A" w14:textId="306F266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65.224 (6522</w:t>
            </w:r>
            <w:r w:rsidR="00520A5C" w:rsidRPr="00A65534">
              <w:rPr>
                <w:i/>
              </w:rPr>
              <w:t>.4 %)</w:t>
            </w:r>
          </w:p>
        </w:tc>
      </w:tr>
      <w:tr w:rsidR="00B16706" w14:paraId="59C20507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9654B8" w14:textId="2948F7D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262,144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CFBC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93A81B" w14:textId="6F723A92" w:rsidR="00B16706" w:rsidRPr="00E518FC" w:rsidRDefault="008E05C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518FC">
              <w:rPr>
                <w:color w:val="FF0000"/>
              </w:rPr>
              <w:t>5617</w:t>
            </w:r>
            <w:r w:rsidR="00E518FC" w:rsidRPr="00E518FC">
              <w:rPr>
                <w:color w:val="FF0000"/>
              </w:rPr>
              <w:t>.434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3A4F118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18701CF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47B92F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97F92B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3ED032" w14:textId="667BC53C" w:rsidR="00B16706" w:rsidRPr="00A5602A" w:rsidRDefault="00A5602A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18</w:t>
            </w:r>
            <w:r w:rsidR="00423BF5">
              <w:rPr>
                <w:color w:val="BF8F00" w:themeColor="accent4" w:themeShade="BF"/>
              </w:rPr>
              <w:t>64.156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C5FC61" w14:textId="1B5D3171" w:rsidR="00B16706" w:rsidRPr="00A65534" w:rsidRDefault="00E518FC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3.013</w:t>
            </w:r>
            <w:r w:rsidR="0065507D" w:rsidRPr="00A65534">
              <w:rPr>
                <w:i/>
                <w:color w:val="BF8F00" w:themeColor="accent4" w:themeShade="BF"/>
              </w:rPr>
              <w:t xml:space="preserve"> (301.3 %)</w:t>
            </w:r>
          </w:p>
        </w:tc>
      </w:tr>
      <w:tr w:rsidR="00B16706" w14:paraId="5F3FC4A1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12D4DE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7D0C89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56ACFA" w14:textId="0A7DAB91" w:rsidR="00B16706" w:rsidRPr="00BD4B83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88.55316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6B80E" w14:textId="62AFD969" w:rsidR="00B16706" w:rsidRPr="00A65534" w:rsidRDefault="0065507D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63.435 (6343.5 %)</w:t>
            </w:r>
          </w:p>
        </w:tc>
      </w:tr>
      <w:tr w:rsidR="00B16706" w14:paraId="3CF8EA46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C6742A2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10741B2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1420932" w14:textId="32D478FD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83.92049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D67AA30" w14:textId="3800547A" w:rsidR="00B16706" w:rsidRPr="00A65534" w:rsidRDefault="00A4599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66.936 (6393.7 %)</w:t>
            </w:r>
          </w:p>
        </w:tc>
      </w:tr>
      <w:tr w:rsidR="00B16706" w14:paraId="138CF745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405C91" w14:textId="683C78E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1,048,576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BF80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7C83D" w14:textId="55F822FA" w:rsidR="00B16706" w:rsidRPr="00807F6B" w:rsidRDefault="004616D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07F6B">
              <w:rPr>
                <w:color w:val="FF0000"/>
              </w:rPr>
              <w:t>89563</w:t>
            </w:r>
            <w:r w:rsidR="00341747" w:rsidRPr="00807F6B">
              <w:rPr>
                <w:color w:val="FF0000"/>
              </w:rPr>
              <w:t>.</w:t>
            </w:r>
            <w:r w:rsidRPr="00807F6B">
              <w:rPr>
                <w:color w:val="FF0000"/>
              </w:rPr>
              <w:t>81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0229AAE0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2B8D368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1F6C5C5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DEDC9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67FBFB" w14:textId="5F8AF49A" w:rsidR="00B16706" w:rsidRPr="00703B63" w:rsidRDefault="00AB5DFA" w:rsidP="00703B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49027</w:t>
            </w:r>
            <w:r w:rsidR="004616D0">
              <w:rPr>
                <w:color w:val="BF8F00" w:themeColor="accent4" w:themeShade="BF"/>
              </w:rPr>
              <w:t>.</w:t>
            </w:r>
            <w:r>
              <w:rPr>
                <w:color w:val="BF8F00" w:themeColor="accent4" w:themeShade="BF"/>
              </w:rPr>
              <w:t>96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3A9C5B" w14:textId="56A390FA" w:rsidR="00B16706" w:rsidRPr="00A65534" w:rsidRDefault="00E4480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1.826 (182.6 %)</w:t>
            </w:r>
          </w:p>
        </w:tc>
      </w:tr>
      <w:tr w:rsidR="00B16706" w14:paraId="041B4AE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371F9B0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84BF90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B5BCFF" w14:textId="3E586CFB" w:rsidR="00B16706" w:rsidRPr="00697181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97181">
              <w:rPr>
                <w:color w:val="00B050"/>
              </w:rPr>
              <w:t>1415.992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2059A1" w14:textId="6D073AD0" w:rsidR="00B16706" w:rsidRPr="00A65534" w:rsidRDefault="00F3284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63.251 (</w:t>
            </w:r>
            <w:r w:rsidR="00A30295" w:rsidRPr="00A65534">
              <w:rPr>
                <w:i/>
                <w:color w:val="00B050"/>
              </w:rPr>
              <w:t>6325.1 %)</w:t>
            </w:r>
          </w:p>
        </w:tc>
      </w:tr>
      <w:tr w:rsidR="00B16706" w14:paraId="486CAA4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61582D2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2487248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54EC47" w14:textId="0F8F671F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1343.394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4F93B81" w14:textId="79543418" w:rsidR="00B16706" w:rsidRPr="00A65534" w:rsidRDefault="00A30295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66.6</w:t>
            </w:r>
            <w:r w:rsidR="00BA333B" w:rsidRPr="00A65534">
              <w:rPr>
                <w:i/>
              </w:rPr>
              <w:t>69 (6666.9 %)</w:t>
            </w:r>
          </w:p>
        </w:tc>
      </w:tr>
    </w:tbl>
    <w:p w14:paraId="518D58B0" w14:textId="77777777" w:rsidR="00065485" w:rsidRDefault="00065485"/>
    <w:p w14:paraId="535FA1A6" w14:textId="31719C6C" w:rsidR="00065485" w:rsidRPr="00AF3C3E" w:rsidRDefault="00C0666E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</w:rPr>
        <w:tab/>
      </w:r>
      <w:r w:rsidR="00701202" w:rsidRPr="00AF3C3E">
        <w:rPr>
          <w:rFonts w:ascii="Times New Roman" w:hAnsi="Times New Roman" w:cs="Times New Roman"/>
          <w:sz w:val="24"/>
          <w:szCs w:val="24"/>
        </w:rPr>
        <w:t>There is a</w:t>
      </w:r>
      <w:r w:rsidR="004C0A7A">
        <w:rPr>
          <w:rFonts w:ascii="Times New Roman" w:hAnsi="Times New Roman" w:cs="Times New Roman"/>
          <w:sz w:val="24"/>
          <w:szCs w:val="24"/>
        </w:rPr>
        <w:t xml:space="preserve"> very significant</w:t>
      </w:r>
      <w:r w:rsidR="00701202" w:rsidRPr="00AF3C3E">
        <w:rPr>
          <w:rFonts w:ascii="Times New Roman" w:hAnsi="Times New Roman" w:cs="Times New Roman"/>
          <w:sz w:val="24"/>
          <w:szCs w:val="24"/>
        </w:rPr>
        <w:t xml:space="preserve"> speedup with the massively parallel approach (up to </w:t>
      </w:r>
      <w:r w:rsidR="004849DD" w:rsidRPr="00AF3C3E">
        <w:rPr>
          <w:rFonts w:ascii="Times New Roman" w:hAnsi="Times New Roman" w:cs="Times New Roman"/>
          <w:sz w:val="24"/>
          <w:szCs w:val="24"/>
        </w:rPr>
        <w:t>66.9</w:t>
      </w:r>
      <w:r w:rsidR="0035732E" w:rsidRPr="00AF3C3E">
        <w:rPr>
          <w:rFonts w:ascii="Times New Roman" w:hAnsi="Times New Roman" w:cs="Times New Roman"/>
          <w:sz w:val="24"/>
          <w:szCs w:val="24"/>
        </w:rPr>
        <w:t>x</w:t>
      </w:r>
      <w:r w:rsidR="004849DD" w:rsidRPr="00AF3C3E">
        <w:rPr>
          <w:rFonts w:ascii="Times New Roman" w:hAnsi="Times New Roman" w:cs="Times New Roman"/>
          <w:sz w:val="24"/>
          <w:szCs w:val="24"/>
        </w:rPr>
        <w:t xml:space="preserve">) when using CUDA and shared memory in the GPU as recorded in the table above. </w:t>
      </w:r>
      <w:r w:rsidR="009E3B23" w:rsidRPr="00AF3C3E">
        <w:rPr>
          <w:rFonts w:ascii="Times New Roman" w:hAnsi="Times New Roman" w:cs="Times New Roman"/>
          <w:sz w:val="24"/>
          <w:szCs w:val="24"/>
        </w:rPr>
        <w:t xml:space="preserve">The openACC approach is </w:t>
      </w:r>
      <w:proofErr w:type="gramStart"/>
      <w:r w:rsidR="009E3B23" w:rsidRPr="00AF3C3E">
        <w:rPr>
          <w:rFonts w:ascii="Times New Roman" w:hAnsi="Times New Roman" w:cs="Times New Roman"/>
          <w:sz w:val="24"/>
          <w:szCs w:val="24"/>
        </w:rPr>
        <w:t>definitely faster</w:t>
      </w:r>
      <w:proofErr w:type="gramEnd"/>
      <w:r w:rsidR="009E3B23" w:rsidRPr="00AF3C3E">
        <w:rPr>
          <w:rFonts w:ascii="Times New Roman" w:hAnsi="Times New Roman" w:cs="Times New Roman"/>
          <w:sz w:val="24"/>
          <w:szCs w:val="24"/>
        </w:rPr>
        <w:t xml:space="preserve"> than the sequential approach but not as </w:t>
      </w:r>
      <w:r w:rsidR="00951891" w:rsidRPr="00AF3C3E">
        <w:rPr>
          <w:rFonts w:ascii="Times New Roman" w:hAnsi="Times New Roman" w:cs="Times New Roman"/>
          <w:sz w:val="24"/>
          <w:szCs w:val="24"/>
        </w:rPr>
        <w:t>fast as expected. The maximum speedup recorded using openACC was 4.19</w:t>
      </w:r>
      <w:r w:rsidR="00EA579E" w:rsidRPr="00AF3C3E">
        <w:rPr>
          <w:rFonts w:ascii="Times New Roman" w:hAnsi="Times New Roman" w:cs="Times New Roman"/>
          <w:sz w:val="24"/>
          <w:szCs w:val="24"/>
        </w:rPr>
        <w:t>x, slowly decreas</w:t>
      </w:r>
      <w:r w:rsidR="0035732E" w:rsidRPr="00AF3C3E">
        <w:rPr>
          <w:rFonts w:ascii="Times New Roman" w:hAnsi="Times New Roman" w:cs="Times New Roman"/>
          <w:sz w:val="24"/>
          <w:szCs w:val="24"/>
        </w:rPr>
        <w:t>ing</w:t>
      </w:r>
      <w:r w:rsidR="00EA579E" w:rsidRPr="00AF3C3E">
        <w:rPr>
          <w:rFonts w:ascii="Times New Roman" w:hAnsi="Times New Roman" w:cs="Times New Roman"/>
          <w:sz w:val="24"/>
          <w:szCs w:val="24"/>
        </w:rPr>
        <w:t xml:space="preserve"> as the problem size gr</w:t>
      </w:r>
      <w:r w:rsidR="0035732E" w:rsidRPr="00AF3C3E">
        <w:rPr>
          <w:rFonts w:ascii="Times New Roman" w:hAnsi="Times New Roman" w:cs="Times New Roman"/>
          <w:sz w:val="24"/>
          <w:szCs w:val="24"/>
        </w:rPr>
        <w:t>ows.</w:t>
      </w:r>
      <w:r w:rsidR="00902372" w:rsidRPr="00AF3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98A84" w14:textId="56BEDF1F" w:rsidR="00902372" w:rsidRPr="00AF3C3E" w:rsidRDefault="00902372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>The openACC approach was no where near as fast as the optimized CUDA approach</w:t>
      </w:r>
      <w:r w:rsidR="009E5B30" w:rsidRPr="00AF3C3E">
        <w:rPr>
          <w:rFonts w:ascii="Times New Roman" w:hAnsi="Times New Roman" w:cs="Times New Roman"/>
          <w:sz w:val="24"/>
          <w:szCs w:val="24"/>
        </w:rPr>
        <w:t xml:space="preserve"> even when taking advantage of shared memory using OpenACC. </w:t>
      </w:r>
      <w:r w:rsidR="00EF3626" w:rsidRPr="00AF3C3E">
        <w:rPr>
          <w:rFonts w:ascii="Times New Roman" w:hAnsi="Times New Roman" w:cs="Times New Roman"/>
          <w:sz w:val="24"/>
          <w:szCs w:val="24"/>
        </w:rPr>
        <w:t xml:space="preserve">This behavior was expected but </w:t>
      </w:r>
      <w:r w:rsidR="00C273FE" w:rsidRPr="00AF3C3E">
        <w:rPr>
          <w:rFonts w:ascii="Times New Roman" w:hAnsi="Times New Roman" w:cs="Times New Roman"/>
          <w:sz w:val="24"/>
          <w:szCs w:val="24"/>
        </w:rPr>
        <w:t xml:space="preserve">not </w:t>
      </w:r>
      <w:r w:rsidR="00EF3626" w:rsidRPr="00AF3C3E">
        <w:rPr>
          <w:rFonts w:ascii="Times New Roman" w:hAnsi="Times New Roman" w:cs="Times New Roman"/>
          <w:sz w:val="24"/>
          <w:szCs w:val="24"/>
        </w:rPr>
        <w:t xml:space="preserve">to that extent, as openACC was slower than optimized CUDA code when multiplying matrices but was at least </w:t>
      </w:r>
      <w:r w:rsidR="00FF28AA">
        <w:rPr>
          <w:rFonts w:ascii="Times New Roman" w:hAnsi="Times New Roman" w:cs="Times New Roman"/>
          <w:sz w:val="24"/>
          <w:szCs w:val="24"/>
        </w:rPr>
        <w:t xml:space="preserve">0.5x as fast CUDA Global Memory </w:t>
      </w:r>
      <w:r w:rsidR="00EF3626" w:rsidRPr="00AF3C3E">
        <w:rPr>
          <w:rFonts w:ascii="Times New Roman" w:hAnsi="Times New Roman" w:cs="Times New Roman"/>
          <w:sz w:val="24"/>
          <w:szCs w:val="24"/>
        </w:rPr>
        <w:t>code</w:t>
      </w:r>
      <w:r w:rsidR="00C273FE" w:rsidRPr="00AF3C3E">
        <w:rPr>
          <w:rFonts w:ascii="Times New Roman" w:hAnsi="Times New Roman" w:cs="Times New Roman"/>
          <w:sz w:val="24"/>
          <w:szCs w:val="24"/>
        </w:rPr>
        <w:t>, which is not the case when solving a radix-2 FFT</w:t>
      </w:r>
      <w:r w:rsidR="00672348">
        <w:rPr>
          <w:rFonts w:ascii="Times New Roman" w:hAnsi="Times New Roman" w:cs="Times New Roman"/>
          <w:sz w:val="24"/>
          <w:szCs w:val="24"/>
        </w:rPr>
        <w:t xml:space="preserve"> due to the nature of the problem.</w:t>
      </w:r>
    </w:p>
    <w:p w14:paraId="42BA88A6" w14:textId="20D8DE2D" w:rsidR="00065485" w:rsidRPr="003D0AF3" w:rsidRDefault="0041317C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 xml:space="preserve">Additionally, using shared memory to solve the problem </w:t>
      </w:r>
      <w:r w:rsidR="009F3A7A" w:rsidRPr="00AF3C3E">
        <w:rPr>
          <w:rFonts w:ascii="Times New Roman" w:hAnsi="Times New Roman" w:cs="Times New Roman"/>
          <w:sz w:val="24"/>
          <w:szCs w:val="24"/>
        </w:rPr>
        <w:t xml:space="preserve">did not provide a significant performance boost. However, it did provide a minor boost </w:t>
      </w:r>
      <w:r w:rsidR="004A59F8" w:rsidRPr="00AF3C3E">
        <w:rPr>
          <w:rFonts w:ascii="Times New Roman" w:hAnsi="Times New Roman" w:cs="Times New Roman"/>
          <w:sz w:val="24"/>
          <w:szCs w:val="24"/>
        </w:rPr>
        <w:t>(1.3x faster than the global memory code).</w:t>
      </w:r>
    </w:p>
    <w:p w14:paraId="384EFFEE" w14:textId="308C47B8" w:rsidR="001E6E14" w:rsidRPr="001E6E14" w:rsidRDefault="00E80AFB" w:rsidP="001E6E14">
      <w:r>
        <w:rPr>
          <w:noProof/>
        </w:rPr>
        <w:lastRenderedPageBreak/>
        <w:drawing>
          <wp:inline distT="0" distB="0" distL="0" distR="0" wp14:anchorId="7C3EF0E7" wp14:editId="732DFFCF">
            <wp:extent cx="6286500" cy="2619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</w:p>
    <w:bookmarkEnd w:id="0"/>
    <w:p w14:paraId="7893C6E6" w14:textId="5B625912" w:rsidR="003C48DB" w:rsidRPr="001E6E14" w:rsidRDefault="001E6E14" w:rsidP="00065485">
      <w:r>
        <w:rPr>
          <w:noProof/>
        </w:rPr>
        <w:drawing>
          <wp:inline distT="0" distB="0" distL="0" distR="0" wp14:anchorId="2E8926A9" wp14:editId="5C610DF6">
            <wp:extent cx="6372225" cy="50006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C48DB" w:rsidRPr="001E6E14" w:rsidSect="00B752D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F394" w14:textId="77777777" w:rsidR="009E4800" w:rsidRDefault="009E4800" w:rsidP="009E4800">
      <w:pPr>
        <w:spacing w:after="0" w:line="240" w:lineRule="auto"/>
      </w:pPr>
      <w:r>
        <w:separator/>
      </w:r>
    </w:p>
  </w:endnote>
  <w:endnote w:type="continuationSeparator" w:id="0">
    <w:p w14:paraId="26428902" w14:textId="77777777" w:rsidR="009E4800" w:rsidRDefault="009E4800" w:rsidP="009E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DD14" w14:textId="77777777" w:rsidR="009E4800" w:rsidRDefault="009E4800" w:rsidP="009E4800">
      <w:pPr>
        <w:spacing w:after="0" w:line="240" w:lineRule="auto"/>
      </w:pPr>
      <w:r>
        <w:separator/>
      </w:r>
    </w:p>
  </w:footnote>
  <w:footnote w:type="continuationSeparator" w:id="0">
    <w:p w14:paraId="6E45B6C0" w14:textId="77777777" w:rsidR="009E4800" w:rsidRDefault="009E4800" w:rsidP="009E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26B0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Shady Boukhary</w:t>
    </w:r>
  </w:p>
  <w:p w14:paraId="7BA6217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Radix-2 FFT: Sequential vs Parallel with OpenACC and CUDA</w:t>
    </w:r>
  </w:p>
  <w:p w14:paraId="2F5F229B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Research Week 5</w:t>
    </w:r>
  </w:p>
  <w:p w14:paraId="6FBF73B1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 xml:space="preserve">Dr. </w:t>
    </w:r>
    <w:proofErr w:type="spellStart"/>
    <w:r w:rsidRPr="00C8684D">
      <w:rPr>
        <w:rFonts w:ascii="Times New Roman" w:hAnsi="Times New Roman" w:cs="Times New Roman"/>
        <w:sz w:val="24"/>
        <w:szCs w:val="24"/>
      </w:rPr>
      <w:t>Colmenares</w:t>
    </w:r>
    <w:proofErr w:type="spellEnd"/>
  </w:p>
  <w:p w14:paraId="1EC62FE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March 25</w:t>
    </w:r>
    <w:r w:rsidRPr="00C8684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C8684D">
      <w:rPr>
        <w:rFonts w:ascii="Times New Roman" w:hAnsi="Times New Roman" w:cs="Times New Roman"/>
        <w:sz w:val="24"/>
        <w:szCs w:val="24"/>
      </w:rPr>
      <w:t>, 2018</w:t>
    </w:r>
  </w:p>
  <w:p w14:paraId="5215BCED" w14:textId="77777777" w:rsidR="00B752DA" w:rsidRDefault="00B75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A"/>
    <w:rsid w:val="00007D22"/>
    <w:rsid w:val="000239CF"/>
    <w:rsid w:val="000317C5"/>
    <w:rsid w:val="00065485"/>
    <w:rsid w:val="000808F2"/>
    <w:rsid w:val="000B57B8"/>
    <w:rsid w:val="0013058A"/>
    <w:rsid w:val="0013450D"/>
    <w:rsid w:val="001A2A8C"/>
    <w:rsid w:val="001E6E14"/>
    <w:rsid w:val="002433CB"/>
    <w:rsid w:val="00243D13"/>
    <w:rsid w:val="002775AC"/>
    <w:rsid w:val="002B7875"/>
    <w:rsid w:val="002C57EA"/>
    <w:rsid w:val="002D14EA"/>
    <w:rsid w:val="002E6AAD"/>
    <w:rsid w:val="002F0F0B"/>
    <w:rsid w:val="002F5F3C"/>
    <w:rsid w:val="00341747"/>
    <w:rsid w:val="00347C81"/>
    <w:rsid w:val="00350863"/>
    <w:rsid w:val="0035732E"/>
    <w:rsid w:val="003B5DC5"/>
    <w:rsid w:val="003C30C9"/>
    <w:rsid w:val="003C48DB"/>
    <w:rsid w:val="003C70E4"/>
    <w:rsid w:val="003D0AF3"/>
    <w:rsid w:val="0041317C"/>
    <w:rsid w:val="00423BF5"/>
    <w:rsid w:val="00426CDD"/>
    <w:rsid w:val="004616D0"/>
    <w:rsid w:val="004755F6"/>
    <w:rsid w:val="004849DD"/>
    <w:rsid w:val="004A59F8"/>
    <w:rsid w:val="004C0A7A"/>
    <w:rsid w:val="004D420B"/>
    <w:rsid w:val="004F0570"/>
    <w:rsid w:val="00520A5C"/>
    <w:rsid w:val="00581BA7"/>
    <w:rsid w:val="005827C5"/>
    <w:rsid w:val="005A5B5B"/>
    <w:rsid w:val="0065507D"/>
    <w:rsid w:val="00663427"/>
    <w:rsid w:val="00672348"/>
    <w:rsid w:val="00672B62"/>
    <w:rsid w:val="0068708E"/>
    <w:rsid w:val="00697181"/>
    <w:rsid w:val="006A683A"/>
    <w:rsid w:val="006E0AB4"/>
    <w:rsid w:val="00701202"/>
    <w:rsid w:val="00703B63"/>
    <w:rsid w:val="00750F95"/>
    <w:rsid w:val="00751FCF"/>
    <w:rsid w:val="00753935"/>
    <w:rsid w:val="00756F57"/>
    <w:rsid w:val="007707B2"/>
    <w:rsid w:val="0079507E"/>
    <w:rsid w:val="007C2506"/>
    <w:rsid w:val="007C57B9"/>
    <w:rsid w:val="00807F6B"/>
    <w:rsid w:val="008316DC"/>
    <w:rsid w:val="00835921"/>
    <w:rsid w:val="0087274F"/>
    <w:rsid w:val="00882AE8"/>
    <w:rsid w:val="00893A1B"/>
    <w:rsid w:val="008C4F30"/>
    <w:rsid w:val="008C5D0D"/>
    <w:rsid w:val="008E05C6"/>
    <w:rsid w:val="00902372"/>
    <w:rsid w:val="00903A83"/>
    <w:rsid w:val="00920777"/>
    <w:rsid w:val="00951891"/>
    <w:rsid w:val="009D68B2"/>
    <w:rsid w:val="009E3B23"/>
    <w:rsid w:val="009E4800"/>
    <w:rsid w:val="009E4DB0"/>
    <w:rsid w:val="009E5B30"/>
    <w:rsid w:val="009F3A7A"/>
    <w:rsid w:val="00A24EC0"/>
    <w:rsid w:val="00A30295"/>
    <w:rsid w:val="00A45996"/>
    <w:rsid w:val="00A5602A"/>
    <w:rsid w:val="00A65534"/>
    <w:rsid w:val="00AA2F22"/>
    <w:rsid w:val="00AB5DFA"/>
    <w:rsid w:val="00AD4BCA"/>
    <w:rsid w:val="00AF3C3E"/>
    <w:rsid w:val="00AF717F"/>
    <w:rsid w:val="00B10206"/>
    <w:rsid w:val="00B12D45"/>
    <w:rsid w:val="00B16706"/>
    <w:rsid w:val="00B27210"/>
    <w:rsid w:val="00B57764"/>
    <w:rsid w:val="00B752DA"/>
    <w:rsid w:val="00B808F9"/>
    <w:rsid w:val="00BA333B"/>
    <w:rsid w:val="00BA63DB"/>
    <w:rsid w:val="00BC1FF8"/>
    <w:rsid w:val="00BC227C"/>
    <w:rsid w:val="00BD4B83"/>
    <w:rsid w:val="00BF2F0B"/>
    <w:rsid w:val="00C0666E"/>
    <w:rsid w:val="00C07624"/>
    <w:rsid w:val="00C12B35"/>
    <w:rsid w:val="00C152E4"/>
    <w:rsid w:val="00C226F9"/>
    <w:rsid w:val="00C273FE"/>
    <w:rsid w:val="00C56463"/>
    <w:rsid w:val="00C60642"/>
    <w:rsid w:val="00C8684D"/>
    <w:rsid w:val="00CA1A37"/>
    <w:rsid w:val="00CA4B45"/>
    <w:rsid w:val="00CE2860"/>
    <w:rsid w:val="00CF3127"/>
    <w:rsid w:val="00D01BBE"/>
    <w:rsid w:val="00D7478C"/>
    <w:rsid w:val="00DD5CE0"/>
    <w:rsid w:val="00E07D51"/>
    <w:rsid w:val="00E10ED2"/>
    <w:rsid w:val="00E3681C"/>
    <w:rsid w:val="00E44800"/>
    <w:rsid w:val="00E50061"/>
    <w:rsid w:val="00E518FC"/>
    <w:rsid w:val="00E60DE1"/>
    <w:rsid w:val="00E80AFB"/>
    <w:rsid w:val="00EA579E"/>
    <w:rsid w:val="00ED65D3"/>
    <w:rsid w:val="00EF3626"/>
    <w:rsid w:val="00EF391C"/>
    <w:rsid w:val="00F32840"/>
    <w:rsid w:val="00F75A50"/>
    <w:rsid w:val="00F85C89"/>
    <w:rsid w:val="00F9575A"/>
    <w:rsid w:val="00FD05A1"/>
    <w:rsid w:val="00FD121C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104"/>
  <w15:chartTrackingRefBased/>
  <w15:docId w15:val="{CB4CDCE6-AAB9-4D52-AB58-27D263F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2F5F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00"/>
  </w:style>
  <w:style w:type="paragraph" w:styleId="Footer">
    <w:name w:val="footer"/>
    <w:basedOn w:val="Normal"/>
    <w:link w:val="Foot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</a:t>
            </a:r>
            <a:r>
              <a:rPr lang="en-US" baseline="0"/>
              <a:t> 2 FFT Computation Time as problem size grows</a:t>
            </a:r>
          </a:p>
          <a:p>
            <a:pPr>
              <a:defRPr/>
            </a:pPr>
            <a:r>
              <a:rPr lang="en-US" baseline="0"/>
              <a:t>Linear Axis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05-40A2-A0E3-7566180DCAD9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0.45458799999999999</c:v>
                </c:pt>
                <c:pt idx="1">
                  <c:v>6.2145279999999996</c:v>
                </c:pt>
                <c:pt idx="2">
                  <c:v>98.96123</c:v>
                </c:pt>
                <c:pt idx="3">
                  <c:v>1864.1559999999999</c:v>
                </c:pt>
                <c:pt idx="4">
                  <c:v>49027.96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05-40A2-A0E3-7566180DCAD9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05-40A2-A0E3-7566180DCAD9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05-40A2-A0E3-7566180DC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orientation val="minMax"/>
          <c:max val="9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Radix 2 FFT Computation Time as problem size grows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Logarithmic Axis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D7-4C27-9997-C36F1D2A3164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0.45458799999999999</c:v>
                </c:pt>
                <c:pt idx="1">
                  <c:v>6.2145279999999996</c:v>
                </c:pt>
                <c:pt idx="2">
                  <c:v>98.96123</c:v>
                </c:pt>
                <c:pt idx="3">
                  <c:v>1864.1559999999999</c:v>
                </c:pt>
                <c:pt idx="4">
                  <c:v>49027.96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D7-4C27-9997-C36F1D2A3164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D7-4C27-9997-C36F1D2A3164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BD7-4C27-9997-C36F1D2A3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137</cp:revision>
  <dcterms:created xsi:type="dcterms:W3CDTF">2018-03-24T01:20:00Z</dcterms:created>
  <dcterms:modified xsi:type="dcterms:W3CDTF">2018-03-25T22:57:00Z</dcterms:modified>
</cp:coreProperties>
</file>