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4C93A" w14:textId="0090CD01" w:rsidR="000D7DCA" w:rsidRDefault="000D7DCA" w:rsidP="00C72CF2">
      <w:pPr>
        <w:widowControl/>
        <w:spacing w:line="480" w:lineRule="auto"/>
        <w:jc w:val="left"/>
        <w:rPr>
          <w:rFonts w:ascii="Times New Roman" w:hAnsi="Times New Roman" w:cs="Times New Roman"/>
          <w:sz w:val="28"/>
          <w:szCs w:val="28"/>
        </w:rPr>
      </w:pPr>
      <w:r>
        <w:rPr>
          <w:rFonts w:ascii="Times New Roman" w:hAnsi="Times New Roman" w:cs="Times New Roman"/>
          <w:sz w:val="28"/>
          <w:szCs w:val="28"/>
        </w:rPr>
        <w:t>Final Portfolio</w:t>
      </w:r>
    </w:p>
    <w:p w14:paraId="332CE6D4" w14:textId="196E2BD8" w:rsidR="005B6E92" w:rsidRDefault="00B15EC6" w:rsidP="00C72CF2">
      <w:pPr>
        <w:widowControl/>
        <w:spacing w:line="480" w:lineRule="auto"/>
        <w:jc w:val="left"/>
        <w:rPr>
          <w:rFonts w:ascii="Times New Roman" w:hAnsi="Times New Roman" w:cs="Times New Roman"/>
          <w:sz w:val="24"/>
        </w:rPr>
      </w:pPr>
      <w:r>
        <w:rPr>
          <w:rFonts w:ascii="Times New Roman" w:hAnsi="Times New Roman" w:cs="Times New Roman"/>
          <w:sz w:val="24"/>
        </w:rPr>
        <w:t>Xiyu Zhang</w:t>
      </w:r>
    </w:p>
    <w:p w14:paraId="2C798664" w14:textId="02641B3E" w:rsidR="003C0A83" w:rsidRPr="007A532A" w:rsidRDefault="003C0A83" w:rsidP="00AE7130">
      <w:pPr>
        <w:widowControl/>
        <w:spacing w:before="240"/>
        <w:jc w:val="left"/>
        <w:rPr>
          <w:rFonts w:ascii="Times New Roman" w:hAnsi="Times New Roman" w:cs="Times New Roman"/>
          <w:b/>
          <w:bCs/>
          <w:sz w:val="24"/>
        </w:rPr>
      </w:pPr>
      <w:r w:rsidRPr="007A532A">
        <w:rPr>
          <w:rFonts w:ascii="Times New Roman" w:hAnsi="Times New Roman" w:cs="Times New Roman"/>
          <w:b/>
          <w:bCs/>
          <w:sz w:val="24"/>
        </w:rPr>
        <w:t>Main topics</w:t>
      </w:r>
    </w:p>
    <w:p w14:paraId="09CABB52" w14:textId="31101424" w:rsidR="00F4707A" w:rsidRDefault="00516AA7" w:rsidP="00AE7130">
      <w:pPr>
        <w:widowControl/>
        <w:spacing w:before="240"/>
        <w:jc w:val="left"/>
        <w:rPr>
          <w:rFonts w:ascii="Times New Roman" w:hAnsi="Times New Roman" w:cs="Times New Roman"/>
          <w:sz w:val="24"/>
        </w:rPr>
      </w:pPr>
      <w:r>
        <w:rPr>
          <w:rFonts w:ascii="Times New Roman" w:hAnsi="Times New Roman" w:cs="Times New Roman"/>
          <w:sz w:val="24"/>
        </w:rPr>
        <w:t xml:space="preserve">The main topic of my final portfolio is electric vehicles (EVs). </w:t>
      </w:r>
      <w:r w:rsidR="00BE37E6" w:rsidRPr="00BE37E6">
        <w:rPr>
          <w:rFonts w:ascii="Times New Roman" w:hAnsi="Times New Roman" w:cs="Times New Roman"/>
          <w:sz w:val="24"/>
        </w:rPr>
        <w:t>EVs are seen as vital to decarbonize road transport, which is a sector that accounts for 16% of global emissions</w:t>
      </w:r>
      <w:r w:rsidR="00BE37E6">
        <w:rPr>
          <w:rFonts w:ascii="Times New Roman" w:hAnsi="Times New Roman" w:cs="Times New Roman"/>
          <w:sz w:val="24"/>
        </w:rPr>
        <w:t>.</w:t>
      </w:r>
      <w:r w:rsidR="0092542A">
        <w:rPr>
          <w:rFonts w:ascii="Times New Roman" w:hAnsi="Times New Roman" w:cs="Times New Roman"/>
          <w:sz w:val="24"/>
        </w:rPr>
        <w:t xml:space="preserve"> </w:t>
      </w:r>
      <w:r w:rsidR="0092542A" w:rsidRPr="0092542A">
        <w:rPr>
          <w:rFonts w:ascii="Times New Roman" w:hAnsi="Times New Roman" w:cs="Times New Roman"/>
          <w:sz w:val="24"/>
        </w:rPr>
        <w:t>In recent years, electric vehicle sales are continually breaking records.</w:t>
      </w:r>
      <w:r w:rsidR="00DA5CDE" w:rsidRPr="00DA5CDE">
        <w:t xml:space="preserve"> </w:t>
      </w:r>
      <w:r w:rsidR="00DA5CDE" w:rsidRPr="00DA5CDE">
        <w:rPr>
          <w:rFonts w:ascii="Times New Roman" w:hAnsi="Times New Roman" w:cs="Times New Roman"/>
          <w:sz w:val="24"/>
        </w:rPr>
        <w:t>There are plenty of countries and regions in this world that have already developed a vision and target of electric mobility: China, India, Japan, the United States, Europe, and so on.</w:t>
      </w:r>
      <w:r w:rsidR="00695718">
        <w:rPr>
          <w:rFonts w:ascii="Times New Roman" w:hAnsi="Times New Roman" w:cs="Times New Roman"/>
          <w:sz w:val="24"/>
        </w:rPr>
        <w:t xml:space="preserve"> In this data portfolio, the analyses focus on both </w:t>
      </w:r>
      <w:r w:rsidR="00213A35">
        <w:rPr>
          <w:rFonts w:ascii="Times New Roman" w:hAnsi="Times New Roman" w:cs="Times New Roman"/>
          <w:sz w:val="24"/>
        </w:rPr>
        <w:t xml:space="preserve">the United </w:t>
      </w:r>
      <w:r w:rsidR="008A3E67">
        <w:rPr>
          <w:rFonts w:ascii="Times New Roman" w:hAnsi="Times New Roman" w:cs="Times New Roman"/>
          <w:sz w:val="24"/>
        </w:rPr>
        <w:t>States'</w:t>
      </w:r>
      <w:r w:rsidR="008A2ABB">
        <w:rPr>
          <w:rFonts w:ascii="Times New Roman" w:hAnsi="Times New Roman" w:cs="Times New Roman"/>
          <w:sz w:val="24"/>
        </w:rPr>
        <w:t xml:space="preserve"> </w:t>
      </w:r>
      <w:r w:rsidR="00695718">
        <w:rPr>
          <w:rFonts w:ascii="Times New Roman" w:hAnsi="Times New Roman" w:cs="Times New Roman"/>
          <w:sz w:val="24"/>
        </w:rPr>
        <w:t>domestic and international deployment of electric vehicles</w:t>
      </w:r>
      <w:r w:rsidR="00753058">
        <w:rPr>
          <w:rFonts w:ascii="Times New Roman" w:hAnsi="Times New Roman" w:cs="Times New Roman"/>
          <w:sz w:val="24"/>
        </w:rPr>
        <w:t xml:space="preserve">. Topics span from types of EVs, </w:t>
      </w:r>
      <w:r w:rsidR="009B7F89">
        <w:rPr>
          <w:rFonts w:ascii="Times New Roman" w:hAnsi="Times New Roman" w:cs="Times New Roman"/>
          <w:sz w:val="24"/>
        </w:rPr>
        <w:t xml:space="preserve">the </w:t>
      </w:r>
      <w:r w:rsidR="00315A2D">
        <w:rPr>
          <w:rFonts w:ascii="Times New Roman" w:hAnsi="Times New Roman" w:cs="Times New Roman"/>
          <w:sz w:val="24"/>
        </w:rPr>
        <w:t xml:space="preserve">cost of purchasing EVs </w:t>
      </w:r>
      <w:r w:rsidR="00476961">
        <w:rPr>
          <w:rFonts w:ascii="Times New Roman" w:hAnsi="Times New Roman" w:cs="Times New Roman"/>
          <w:sz w:val="24"/>
        </w:rPr>
        <w:t>compared</w:t>
      </w:r>
      <w:r w:rsidR="00315A2D">
        <w:rPr>
          <w:rFonts w:ascii="Times New Roman" w:hAnsi="Times New Roman" w:cs="Times New Roman"/>
          <w:sz w:val="24"/>
        </w:rPr>
        <w:t xml:space="preserve"> to conventional vehicles, </w:t>
      </w:r>
      <w:r w:rsidR="00753058">
        <w:rPr>
          <w:rFonts w:ascii="Times New Roman" w:hAnsi="Times New Roman" w:cs="Times New Roman"/>
          <w:sz w:val="24"/>
        </w:rPr>
        <w:t xml:space="preserve">EV charging infrastructure deployment, </w:t>
      </w:r>
      <w:r w:rsidR="0003187C">
        <w:rPr>
          <w:rFonts w:ascii="Times New Roman" w:hAnsi="Times New Roman" w:cs="Times New Roman"/>
          <w:sz w:val="24"/>
        </w:rPr>
        <w:t>to</w:t>
      </w:r>
      <w:r w:rsidR="00315A2D">
        <w:rPr>
          <w:rFonts w:ascii="Times New Roman" w:hAnsi="Times New Roman" w:cs="Times New Roman"/>
          <w:sz w:val="24"/>
        </w:rPr>
        <w:t xml:space="preserve"> </w:t>
      </w:r>
      <w:r w:rsidR="002F27A5">
        <w:rPr>
          <w:rFonts w:ascii="Times New Roman" w:hAnsi="Times New Roman" w:cs="Times New Roman"/>
          <w:sz w:val="24"/>
        </w:rPr>
        <w:t xml:space="preserve">the international progress on </w:t>
      </w:r>
      <w:r w:rsidR="00A47287">
        <w:rPr>
          <w:rFonts w:ascii="Times New Roman" w:hAnsi="Times New Roman" w:cs="Times New Roman"/>
          <w:sz w:val="24"/>
        </w:rPr>
        <w:t>vehicle electrification</w:t>
      </w:r>
      <w:r w:rsidR="00230ED6">
        <w:rPr>
          <w:rFonts w:ascii="Times New Roman" w:hAnsi="Times New Roman" w:cs="Times New Roman"/>
          <w:sz w:val="24"/>
        </w:rPr>
        <w:t>.</w:t>
      </w:r>
    </w:p>
    <w:p w14:paraId="68A624F1" w14:textId="3C7E5C9A" w:rsidR="00A47287" w:rsidRPr="007A532A" w:rsidRDefault="00BD7584" w:rsidP="00AE7130">
      <w:pPr>
        <w:widowControl/>
        <w:spacing w:before="240"/>
        <w:jc w:val="left"/>
        <w:rPr>
          <w:rFonts w:ascii="Times New Roman" w:hAnsi="Times New Roman" w:cs="Times New Roman"/>
          <w:b/>
          <w:bCs/>
          <w:sz w:val="24"/>
        </w:rPr>
      </w:pPr>
      <w:r w:rsidRPr="007A532A">
        <w:rPr>
          <w:rFonts w:ascii="Times New Roman" w:hAnsi="Times New Roman" w:cs="Times New Roman"/>
          <w:b/>
          <w:bCs/>
          <w:sz w:val="24"/>
        </w:rPr>
        <w:t>Data sources</w:t>
      </w:r>
      <w:r w:rsidR="003922F6">
        <w:rPr>
          <w:rFonts w:ascii="Times New Roman" w:hAnsi="Times New Roman" w:cs="Times New Roman"/>
          <w:b/>
          <w:bCs/>
          <w:sz w:val="24"/>
        </w:rPr>
        <w:t xml:space="preserve"> &amp; Datasets</w:t>
      </w:r>
    </w:p>
    <w:p w14:paraId="4F339AC3" w14:textId="4EDC79DE" w:rsidR="00BD7584" w:rsidRDefault="00000000" w:rsidP="00AE7130">
      <w:pPr>
        <w:widowControl/>
        <w:spacing w:before="240"/>
        <w:jc w:val="left"/>
        <w:rPr>
          <w:rFonts w:ascii="Times New Roman" w:hAnsi="Times New Roman" w:cs="Times New Roman"/>
          <w:sz w:val="24"/>
        </w:rPr>
      </w:pPr>
      <w:hyperlink r:id="rId5" w:history="1">
        <w:r w:rsidR="00B8111A" w:rsidRPr="00EC5F3F">
          <w:rPr>
            <w:rStyle w:val="Hyperlink"/>
            <w:rFonts w:ascii="Times New Roman" w:hAnsi="Times New Roman" w:cs="Times New Roman"/>
            <w:sz w:val="24"/>
          </w:rPr>
          <w:t>Alternative Fuel Data Center</w:t>
        </w:r>
      </w:hyperlink>
      <w:r w:rsidR="00EC5F3F">
        <w:rPr>
          <w:rFonts w:ascii="Times New Roman" w:hAnsi="Times New Roman" w:cs="Times New Roman"/>
          <w:sz w:val="24"/>
        </w:rPr>
        <w:t xml:space="preserve">: </w:t>
      </w:r>
      <w:r w:rsidR="0062640B">
        <w:rPr>
          <w:rFonts w:ascii="Times New Roman" w:hAnsi="Times New Roman" w:cs="Times New Roman"/>
          <w:sz w:val="24"/>
        </w:rPr>
        <w:t xml:space="preserve">Vehicle Registration Counts by State, Alternative Fueling Station Locator, Station Counts by State, </w:t>
      </w:r>
      <w:r w:rsidR="003F1A84">
        <w:rPr>
          <w:rFonts w:ascii="Times New Roman" w:hAnsi="Times New Roman" w:cs="Times New Roman"/>
          <w:sz w:val="24"/>
        </w:rPr>
        <w:t>Federal and State Laws and Incentives</w:t>
      </w:r>
    </w:p>
    <w:p w14:paraId="12D77BF5" w14:textId="5FA6DB1D" w:rsidR="00D01117" w:rsidRDefault="00000000" w:rsidP="00AE7130">
      <w:pPr>
        <w:widowControl/>
        <w:spacing w:before="240"/>
        <w:jc w:val="left"/>
        <w:rPr>
          <w:rFonts w:ascii="Times New Roman" w:hAnsi="Times New Roman" w:cs="Times New Roman"/>
          <w:sz w:val="24"/>
        </w:rPr>
      </w:pPr>
      <w:hyperlink r:id="rId6" w:history="1">
        <w:r w:rsidR="00616422" w:rsidRPr="00616422">
          <w:rPr>
            <w:rStyle w:val="Hyperlink"/>
            <w:rFonts w:ascii="Times New Roman" w:hAnsi="Times New Roman" w:cs="Times New Roman"/>
            <w:sz w:val="24"/>
          </w:rPr>
          <w:t>International Energy Agency</w:t>
        </w:r>
      </w:hyperlink>
      <w:r w:rsidR="00616422">
        <w:rPr>
          <w:rFonts w:ascii="Times New Roman" w:hAnsi="Times New Roman" w:cs="Times New Roman"/>
          <w:sz w:val="24"/>
        </w:rPr>
        <w:t>:</w:t>
      </w:r>
      <w:r w:rsidR="006C0EEE">
        <w:rPr>
          <w:rFonts w:ascii="Times New Roman" w:hAnsi="Times New Roman" w:cs="Times New Roman"/>
          <w:sz w:val="24"/>
        </w:rPr>
        <w:t xml:space="preserve"> Global EV Data Explorer</w:t>
      </w:r>
      <w:r w:rsidR="00415059">
        <w:rPr>
          <w:rFonts w:ascii="Times New Roman" w:hAnsi="Times New Roman" w:cs="Times New Roman"/>
          <w:sz w:val="24"/>
        </w:rPr>
        <w:t>, Global EV Policy Explorer</w:t>
      </w:r>
    </w:p>
    <w:p w14:paraId="00A7317B" w14:textId="3B25C68B" w:rsidR="009E298B" w:rsidRDefault="00000000" w:rsidP="00AE7130">
      <w:pPr>
        <w:widowControl/>
        <w:spacing w:before="240"/>
        <w:jc w:val="left"/>
        <w:rPr>
          <w:rFonts w:ascii="Times New Roman" w:hAnsi="Times New Roman" w:cs="Times New Roman"/>
          <w:sz w:val="24"/>
        </w:rPr>
      </w:pPr>
      <w:hyperlink r:id="rId7" w:history="1">
        <w:r w:rsidR="009E298B" w:rsidRPr="00BC5914">
          <w:rPr>
            <w:rStyle w:val="Hyperlink"/>
            <w:rFonts w:ascii="Times New Roman" w:hAnsi="Times New Roman" w:cs="Times New Roman"/>
            <w:sz w:val="24"/>
          </w:rPr>
          <w:t>U.S. Energy Information Administration</w:t>
        </w:r>
      </w:hyperlink>
      <w:r w:rsidR="009E298B">
        <w:rPr>
          <w:rFonts w:ascii="Times New Roman" w:hAnsi="Times New Roman" w:cs="Times New Roman"/>
          <w:sz w:val="24"/>
        </w:rPr>
        <w:t xml:space="preserve">: </w:t>
      </w:r>
      <w:r w:rsidR="006733D0">
        <w:rPr>
          <w:rFonts w:ascii="Times New Roman" w:hAnsi="Times New Roman" w:cs="Times New Roman"/>
          <w:sz w:val="24"/>
        </w:rPr>
        <w:t>State Energy Data System</w:t>
      </w:r>
    </w:p>
    <w:p w14:paraId="51CC683B" w14:textId="0EC6616E" w:rsidR="00C845AA" w:rsidRPr="00AF6C04" w:rsidRDefault="00164ACD" w:rsidP="00AE7130">
      <w:pPr>
        <w:widowControl/>
        <w:spacing w:before="240"/>
        <w:jc w:val="left"/>
        <w:rPr>
          <w:rFonts w:ascii="Times New Roman" w:hAnsi="Times New Roman" w:cs="Times New Roman"/>
          <w:b/>
          <w:bCs/>
          <w:sz w:val="24"/>
        </w:rPr>
      </w:pPr>
      <w:r>
        <w:rPr>
          <w:rFonts w:ascii="Times New Roman" w:hAnsi="Times New Roman" w:cs="Times New Roman"/>
          <w:b/>
          <w:bCs/>
          <w:sz w:val="24"/>
        </w:rPr>
        <w:t xml:space="preserve">Portfolio </w:t>
      </w:r>
      <w:r w:rsidR="00AF6C04" w:rsidRPr="00AF6C04">
        <w:rPr>
          <w:rFonts w:ascii="Times New Roman" w:hAnsi="Times New Roman" w:cs="Times New Roman"/>
          <w:b/>
          <w:bCs/>
          <w:sz w:val="24"/>
        </w:rPr>
        <w:t>contents</w:t>
      </w:r>
    </w:p>
    <w:p w14:paraId="369FCC7C" w14:textId="77777777" w:rsidR="00F83A4E" w:rsidRPr="00F83A4E" w:rsidRDefault="00F83A4E" w:rsidP="00F83A4E">
      <w:pPr>
        <w:widowControl/>
        <w:spacing w:before="240"/>
        <w:jc w:val="left"/>
        <w:rPr>
          <w:rFonts w:ascii="Times New Roman" w:hAnsi="Times New Roman" w:cs="Times New Roman"/>
          <w:sz w:val="24"/>
        </w:rPr>
      </w:pPr>
      <w:r w:rsidRPr="00F83A4E">
        <w:rPr>
          <w:rFonts w:ascii="Times New Roman" w:hAnsi="Times New Roman" w:cs="Times New Roman"/>
          <w:sz w:val="24"/>
        </w:rPr>
        <w:t xml:space="preserve">The visualizations included in this portfolio serve two primary purposes. Firstly, they aim to provide a comprehensive overview of the current state of electric vehicle (EV) markets, with a specific focus on the United States. This is achieved by analyzing various key indicators such as the cost of driving gasoline versus charging an EV in different states, evaluating the convenience of charging infrastructure across states, examining the EV-to-charger ratio, and exploring the types of EVs that dominate global markets. </w:t>
      </w:r>
    </w:p>
    <w:p w14:paraId="2423C370" w14:textId="225C8EE5" w:rsidR="00AF6C04" w:rsidRPr="00954F13" w:rsidRDefault="00F83A4E" w:rsidP="00AE7130">
      <w:pPr>
        <w:widowControl/>
        <w:spacing w:before="240"/>
        <w:jc w:val="left"/>
        <w:rPr>
          <w:rFonts w:ascii="Times New Roman" w:hAnsi="Times New Roman" w:cs="Times New Roman"/>
          <w:sz w:val="24"/>
        </w:rPr>
      </w:pPr>
      <w:r w:rsidRPr="00F83A4E">
        <w:rPr>
          <w:rFonts w:ascii="Times New Roman" w:hAnsi="Times New Roman" w:cs="Times New Roman"/>
          <w:sz w:val="24"/>
        </w:rPr>
        <w:t>Secondly, the visualizations seek to assess the impact of specific policies on EV adoption. For instance, they investigate the deployment of different types of EV charging stations before and after the implementation of Biden</w:t>
      </w:r>
      <w:r w:rsidR="002F4598">
        <w:rPr>
          <w:rFonts w:ascii="Times New Roman" w:hAnsi="Times New Roman" w:cs="Times New Roman"/>
          <w:sz w:val="24"/>
        </w:rPr>
        <w:t>’s</w:t>
      </w:r>
      <w:r w:rsidRPr="00F83A4E">
        <w:rPr>
          <w:rFonts w:ascii="Times New Roman" w:hAnsi="Times New Roman" w:cs="Times New Roman"/>
          <w:sz w:val="24"/>
        </w:rPr>
        <w:t xml:space="preserve"> Bipartisan Infrastructure Law. Furthermore, they explore the differences in EV market trends between states with and without pro-electric vehicle policies. These visualizations </w:t>
      </w:r>
      <w:r w:rsidR="00B260A0">
        <w:rPr>
          <w:rFonts w:ascii="Times New Roman" w:hAnsi="Times New Roman" w:cs="Times New Roman"/>
          <w:sz w:val="24"/>
        </w:rPr>
        <w:t xml:space="preserve">intend to </w:t>
      </w:r>
      <w:r w:rsidRPr="00F83A4E">
        <w:rPr>
          <w:rFonts w:ascii="Times New Roman" w:hAnsi="Times New Roman" w:cs="Times New Roman"/>
          <w:sz w:val="24"/>
        </w:rPr>
        <w:t xml:space="preserve">provide insights into the effectiveness of </w:t>
      </w:r>
      <w:r w:rsidR="00B260A0">
        <w:rPr>
          <w:rFonts w:ascii="Times New Roman" w:hAnsi="Times New Roman" w:cs="Times New Roman"/>
          <w:sz w:val="24"/>
        </w:rPr>
        <w:t>relative</w:t>
      </w:r>
      <w:r w:rsidRPr="00F83A4E">
        <w:rPr>
          <w:rFonts w:ascii="Times New Roman" w:hAnsi="Times New Roman" w:cs="Times New Roman"/>
          <w:sz w:val="24"/>
        </w:rPr>
        <w:t xml:space="preserve"> policies in promoting the adoption of EV</w:t>
      </w:r>
      <w:r w:rsidR="00275C76">
        <w:rPr>
          <w:rFonts w:ascii="Times New Roman" w:hAnsi="Times New Roman" w:cs="Times New Roman"/>
          <w:sz w:val="24"/>
        </w:rPr>
        <w:t>s</w:t>
      </w:r>
      <w:r w:rsidRPr="00F83A4E">
        <w:rPr>
          <w:rFonts w:ascii="Times New Roman" w:hAnsi="Times New Roman" w:cs="Times New Roman"/>
          <w:sz w:val="24"/>
        </w:rPr>
        <w:t>.</w:t>
      </w:r>
    </w:p>
    <w:sectPr w:rsidR="00AF6C04" w:rsidRPr="00954F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A13E0"/>
    <w:multiLevelType w:val="hybridMultilevel"/>
    <w:tmpl w:val="2F7C1BE2"/>
    <w:lvl w:ilvl="0" w:tplc="B450EACC">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1694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23C"/>
    <w:rsid w:val="00021986"/>
    <w:rsid w:val="0003187C"/>
    <w:rsid w:val="00073CF1"/>
    <w:rsid w:val="000970BD"/>
    <w:rsid w:val="000D7DCA"/>
    <w:rsid w:val="00164ACD"/>
    <w:rsid w:val="0019727D"/>
    <w:rsid w:val="001E24AB"/>
    <w:rsid w:val="001F5515"/>
    <w:rsid w:val="00213A35"/>
    <w:rsid w:val="00230ED6"/>
    <w:rsid w:val="00275C76"/>
    <w:rsid w:val="002865F4"/>
    <w:rsid w:val="002A7CDF"/>
    <w:rsid w:val="002F27A5"/>
    <w:rsid w:val="002F4598"/>
    <w:rsid w:val="00315A2D"/>
    <w:rsid w:val="0031751B"/>
    <w:rsid w:val="003922F6"/>
    <w:rsid w:val="003C0A83"/>
    <w:rsid w:val="003F1A84"/>
    <w:rsid w:val="0040760B"/>
    <w:rsid w:val="00415059"/>
    <w:rsid w:val="00416D4F"/>
    <w:rsid w:val="00424F8B"/>
    <w:rsid w:val="004351BF"/>
    <w:rsid w:val="004606D9"/>
    <w:rsid w:val="00476961"/>
    <w:rsid w:val="00484947"/>
    <w:rsid w:val="004B06BC"/>
    <w:rsid w:val="004B0849"/>
    <w:rsid w:val="004B4142"/>
    <w:rsid w:val="004D3235"/>
    <w:rsid w:val="004E5A7B"/>
    <w:rsid w:val="00506FBE"/>
    <w:rsid w:val="00516AA7"/>
    <w:rsid w:val="00554D95"/>
    <w:rsid w:val="0057623C"/>
    <w:rsid w:val="00582845"/>
    <w:rsid w:val="0059174A"/>
    <w:rsid w:val="005A09F8"/>
    <w:rsid w:val="005A301B"/>
    <w:rsid w:val="005B6E92"/>
    <w:rsid w:val="005D0AAE"/>
    <w:rsid w:val="00615E26"/>
    <w:rsid w:val="00616422"/>
    <w:rsid w:val="0062640B"/>
    <w:rsid w:val="00651BEB"/>
    <w:rsid w:val="006733D0"/>
    <w:rsid w:val="00695718"/>
    <w:rsid w:val="006B6490"/>
    <w:rsid w:val="006C0EEE"/>
    <w:rsid w:val="00753058"/>
    <w:rsid w:val="00757403"/>
    <w:rsid w:val="007A3E9F"/>
    <w:rsid w:val="007A532A"/>
    <w:rsid w:val="007F53C7"/>
    <w:rsid w:val="00845E3B"/>
    <w:rsid w:val="00857658"/>
    <w:rsid w:val="0089138D"/>
    <w:rsid w:val="008A0034"/>
    <w:rsid w:val="008A2ABB"/>
    <w:rsid w:val="008A3E67"/>
    <w:rsid w:val="008D5DB4"/>
    <w:rsid w:val="008F37DD"/>
    <w:rsid w:val="0092542A"/>
    <w:rsid w:val="00954F13"/>
    <w:rsid w:val="009666E0"/>
    <w:rsid w:val="009B7F89"/>
    <w:rsid w:val="009E298B"/>
    <w:rsid w:val="00A02C94"/>
    <w:rsid w:val="00A134C2"/>
    <w:rsid w:val="00A16411"/>
    <w:rsid w:val="00A47287"/>
    <w:rsid w:val="00A512A5"/>
    <w:rsid w:val="00A555A3"/>
    <w:rsid w:val="00A55CCF"/>
    <w:rsid w:val="00AC5DB6"/>
    <w:rsid w:val="00AE7130"/>
    <w:rsid w:val="00AF6C04"/>
    <w:rsid w:val="00B154F4"/>
    <w:rsid w:val="00B15EC6"/>
    <w:rsid w:val="00B260A0"/>
    <w:rsid w:val="00B47074"/>
    <w:rsid w:val="00B557C2"/>
    <w:rsid w:val="00B8111A"/>
    <w:rsid w:val="00BA3862"/>
    <w:rsid w:val="00BC5914"/>
    <w:rsid w:val="00BD7584"/>
    <w:rsid w:val="00BE2F82"/>
    <w:rsid w:val="00BE37E6"/>
    <w:rsid w:val="00BE5F81"/>
    <w:rsid w:val="00BF7A93"/>
    <w:rsid w:val="00C046BD"/>
    <w:rsid w:val="00C104B5"/>
    <w:rsid w:val="00C32B85"/>
    <w:rsid w:val="00C72CF2"/>
    <w:rsid w:val="00C845AA"/>
    <w:rsid w:val="00D01117"/>
    <w:rsid w:val="00D32631"/>
    <w:rsid w:val="00D43700"/>
    <w:rsid w:val="00D81157"/>
    <w:rsid w:val="00DA5CDE"/>
    <w:rsid w:val="00DB3095"/>
    <w:rsid w:val="00E42FF9"/>
    <w:rsid w:val="00E57A45"/>
    <w:rsid w:val="00E85252"/>
    <w:rsid w:val="00EC5F3F"/>
    <w:rsid w:val="00EE5F7F"/>
    <w:rsid w:val="00F4707A"/>
    <w:rsid w:val="00F83A4E"/>
    <w:rsid w:val="00FF1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77E42D"/>
  <w15:chartTrackingRefBased/>
  <w15:docId w15:val="{97FF6462-8A7A-3849-9D1A-CD70AE949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F3F"/>
    <w:rPr>
      <w:color w:val="0563C1" w:themeColor="hyperlink"/>
      <w:u w:val="single"/>
    </w:rPr>
  </w:style>
  <w:style w:type="character" w:styleId="UnresolvedMention">
    <w:name w:val="Unresolved Mention"/>
    <w:basedOn w:val="DefaultParagraphFont"/>
    <w:uiPriority w:val="99"/>
    <w:semiHidden/>
    <w:unhideWhenUsed/>
    <w:rsid w:val="00EC5F3F"/>
    <w:rPr>
      <w:color w:val="605E5C"/>
      <w:shd w:val="clear" w:color="auto" w:fill="E1DFDD"/>
    </w:rPr>
  </w:style>
  <w:style w:type="paragraph" w:styleId="ListParagraph">
    <w:name w:val="List Paragraph"/>
    <w:basedOn w:val="Normal"/>
    <w:uiPriority w:val="34"/>
    <w:qFormat/>
    <w:rsid w:val="004B4142"/>
    <w:pPr>
      <w:ind w:left="720"/>
      <w:contextualSpacing/>
    </w:pPr>
  </w:style>
  <w:style w:type="character" w:styleId="FollowedHyperlink">
    <w:name w:val="FollowedHyperlink"/>
    <w:basedOn w:val="DefaultParagraphFont"/>
    <w:uiPriority w:val="99"/>
    <w:semiHidden/>
    <w:unhideWhenUsed/>
    <w:rsid w:val="006C0E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77994">
      <w:bodyDiv w:val="1"/>
      <w:marLeft w:val="0"/>
      <w:marRight w:val="0"/>
      <w:marTop w:val="0"/>
      <w:marBottom w:val="0"/>
      <w:divBdr>
        <w:top w:val="none" w:sz="0" w:space="0" w:color="auto"/>
        <w:left w:val="none" w:sz="0" w:space="0" w:color="auto"/>
        <w:bottom w:val="none" w:sz="0" w:space="0" w:color="auto"/>
        <w:right w:val="none" w:sz="0" w:space="0" w:color="auto"/>
      </w:divBdr>
      <w:divsChild>
        <w:div w:id="989559510">
          <w:marLeft w:val="0"/>
          <w:marRight w:val="0"/>
          <w:marTop w:val="0"/>
          <w:marBottom w:val="0"/>
          <w:divBdr>
            <w:top w:val="none" w:sz="0" w:space="0" w:color="auto"/>
            <w:left w:val="none" w:sz="0" w:space="0" w:color="auto"/>
            <w:bottom w:val="none" w:sz="0" w:space="0" w:color="auto"/>
            <w:right w:val="none" w:sz="0" w:space="0" w:color="auto"/>
          </w:divBdr>
          <w:divsChild>
            <w:div w:id="1556115172">
              <w:marLeft w:val="0"/>
              <w:marRight w:val="0"/>
              <w:marTop w:val="0"/>
              <w:marBottom w:val="0"/>
              <w:divBdr>
                <w:top w:val="none" w:sz="0" w:space="0" w:color="auto"/>
                <w:left w:val="none" w:sz="0" w:space="0" w:color="auto"/>
                <w:bottom w:val="none" w:sz="0" w:space="0" w:color="auto"/>
                <w:right w:val="none" w:sz="0" w:space="0" w:color="auto"/>
              </w:divBdr>
              <w:divsChild>
                <w:div w:id="1998336660">
                  <w:marLeft w:val="0"/>
                  <w:marRight w:val="0"/>
                  <w:marTop w:val="0"/>
                  <w:marBottom w:val="0"/>
                  <w:divBdr>
                    <w:top w:val="none" w:sz="0" w:space="0" w:color="auto"/>
                    <w:left w:val="none" w:sz="0" w:space="0" w:color="auto"/>
                    <w:bottom w:val="none" w:sz="0" w:space="0" w:color="auto"/>
                    <w:right w:val="none" w:sz="0" w:space="0" w:color="auto"/>
                  </w:divBdr>
                  <w:divsChild>
                    <w:div w:id="163042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i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ea.org/" TargetMode="External"/><Relationship Id="rId5" Type="http://schemas.openxmlformats.org/officeDocument/2006/relationships/hyperlink" Target="http://afdc.energy.go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502</Words>
  <Characters>1788</Characters>
  <Application>Microsoft Office Word</Application>
  <DocSecurity>0</DocSecurity>
  <Lines>40</Lines>
  <Paragraphs>22</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xiyu</dc:creator>
  <cp:keywords/>
  <dc:description/>
  <cp:lastModifiedBy>zhang xiyu</cp:lastModifiedBy>
  <cp:revision>76</cp:revision>
  <cp:lastPrinted>2023-05-11T04:06:00Z</cp:lastPrinted>
  <dcterms:created xsi:type="dcterms:W3CDTF">2023-05-11T17:34:00Z</dcterms:created>
  <dcterms:modified xsi:type="dcterms:W3CDTF">2023-05-11T19:13:00Z</dcterms:modified>
</cp:coreProperties>
</file>