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892C" w14:textId="1A88E797" w:rsidR="00B77846" w:rsidRPr="00B77846" w:rsidRDefault="00B77846" w:rsidP="00B77846">
      <w:pPr>
        <w:spacing w:line="480" w:lineRule="auto"/>
        <w:rPr>
          <w:rFonts w:ascii="Times New Roman" w:hAnsi="Times New Roman" w:cs="Times New Roman"/>
        </w:rPr>
      </w:pPr>
      <w:r w:rsidRPr="00B77846">
        <w:rPr>
          <w:rFonts w:ascii="Times New Roman" w:hAnsi="Times New Roman" w:cs="Times New Roman"/>
        </w:rPr>
        <w:t>This data visualization, like the previous one, serves the topic of the thesis. Its purpose is to show which entity will have the greatest incentive to build electric vehicle charging posts as a result of the Bipartisan Infrastructure Law Incentives issued by the Biden administration in November 2021. Based on the graphs made, it appears that this bill has incentives for Local/Municipal and Private for the construction of charging posts and that the incentives are mainly focused on private entities. This makes sense because under the new bill, private entities can receive tax credits for building EV charging stations. But on the other hand, the Bipartisan Infrastructure Act also allocates significant funds to all levels of government to facilitate the construction of EV charging infrastructure, and the flow and role of these funds should be further examined.</w:t>
      </w:r>
    </w:p>
    <w:sectPr w:rsidR="00B77846" w:rsidRPr="00B7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46"/>
    <w:rsid w:val="00B7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456B0"/>
  <w15:chartTrackingRefBased/>
  <w15:docId w15:val="{1A918C87-0052-4749-B95A-F225BDE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1</cp:revision>
  <dcterms:created xsi:type="dcterms:W3CDTF">2023-03-16T03:46:00Z</dcterms:created>
  <dcterms:modified xsi:type="dcterms:W3CDTF">2023-03-16T03:46:00Z</dcterms:modified>
</cp:coreProperties>
</file>