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726F096" w:rsidR="00E370AF" w:rsidRDefault="0064427D">
            <w:r w:rsidRPr="0064427D">
              <w:t>03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427D" w:rsidRPr="0064427D" w14:paraId="2AC2345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4D54FC" w14:textId="77777777" w:rsidR="0064427D" w:rsidRPr="0064427D" w:rsidRDefault="0064427D" w:rsidP="0064427D">
                  <w:pPr>
                    <w:spacing w:after="0" w:line="240" w:lineRule="auto"/>
                  </w:pPr>
                </w:p>
              </w:tc>
            </w:tr>
          </w:tbl>
          <w:p w14:paraId="775EE3EA" w14:textId="77777777" w:rsidR="0064427D" w:rsidRPr="0064427D" w:rsidRDefault="0064427D" w:rsidP="0064427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64427D" w:rsidRPr="0064427D" w14:paraId="41117DFC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0E5A80F2" w14:textId="77777777" w:rsidR="0064427D" w:rsidRPr="0064427D" w:rsidRDefault="0064427D" w:rsidP="0064427D">
                  <w:pPr>
                    <w:spacing w:after="0" w:line="240" w:lineRule="auto"/>
                  </w:pPr>
                  <w:r w:rsidRPr="0064427D">
                    <w:rPr>
                      <w:b/>
                      <w:bCs/>
                    </w:rPr>
                    <w:t>SWTID-2026-8726</w:t>
                  </w:r>
                </w:p>
              </w:tc>
            </w:tr>
          </w:tbl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9EE9A45" w:rsidR="00E370AF" w:rsidRDefault="0064427D" w:rsidP="0064427D">
            <w:pPr>
              <w:tabs>
                <w:tab w:val="left" w:pos="2865"/>
              </w:tabs>
            </w:pPr>
            <w:r w:rsidRPr="0064427D">
              <w:t>Auto Ticket Classification using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20D0906" w14:textId="77777777" w:rsidR="0064427D" w:rsidRPr="0064427D" w:rsidRDefault="0064427D" w:rsidP="0064427D">
      <w:p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Auto Ticket Classification using FLOW DESIGNER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solution bridges the service-desk problem of manual ticket triage with an automated ServiceNow workflow. The architecture defines how a newly created ticket is evaluated, classified, prioritized and routed to the appropriate support group.</w:t>
      </w:r>
    </w:p>
    <w:p w14:paraId="092005EC" w14:textId="77777777" w:rsidR="0064427D" w:rsidRPr="0064427D" w:rsidRDefault="0064427D" w:rsidP="0064427D">
      <w:p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color w:val="000000"/>
          <w:sz w:val="24"/>
          <w:szCs w:val="24"/>
        </w:rPr>
        <w:t>The solution consists of the following major processes:</w:t>
      </w:r>
    </w:p>
    <w:p w14:paraId="2C8FE0F0" w14:textId="77777777" w:rsidR="0064427D" w:rsidRPr="0064427D" w:rsidRDefault="0064427D" w:rsidP="0064427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Ticket Creation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– A new Incident / Service Request is created. </w:t>
      </w:r>
    </w:p>
    <w:p w14:paraId="26B5257D" w14:textId="77777777" w:rsidR="0064427D" w:rsidRPr="0064427D" w:rsidRDefault="0064427D" w:rsidP="0064427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Flow Trigger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– Flow Designer starts automatically when the ticket satisfies the configured trigger condition. </w:t>
      </w:r>
    </w:p>
    <w:p w14:paraId="0E6BFF22" w14:textId="77777777" w:rsidR="0064427D" w:rsidRPr="0064427D" w:rsidRDefault="0064427D" w:rsidP="0064427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Content Evaluation &amp; Parsing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– Ticket description, keywords, requester profile and channel source are evaluated. </w:t>
      </w:r>
    </w:p>
    <w:p w14:paraId="60278335" w14:textId="77777777" w:rsidR="0064427D" w:rsidRPr="0064427D" w:rsidRDefault="0064427D" w:rsidP="0064427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Decision Matrix &amp; Conditional Branching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– Configured classification conditions determine the appropriate category, priority and assignment group. </w:t>
      </w:r>
    </w:p>
    <w:p w14:paraId="66E16982" w14:textId="77777777" w:rsidR="0064427D" w:rsidRPr="0064427D" w:rsidRDefault="0064427D" w:rsidP="0064427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Automatic Assignment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– The ticket is routed to the relevant support team. </w:t>
      </w:r>
    </w:p>
    <w:p w14:paraId="70999796" w14:textId="77777777" w:rsidR="0064427D" w:rsidRPr="0064427D" w:rsidRDefault="0064427D" w:rsidP="0064427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Fallback Handling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– Unmatched or ambiguous tickets are sent to the General Support Triage Queue for manual review. </w:t>
      </w:r>
    </w:p>
    <w:p w14:paraId="4F593CE5" w14:textId="36AC8DE5" w:rsidR="0064427D" w:rsidRPr="0064427D" w:rsidRDefault="0064427D" w:rsidP="0064427D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Logging &amp; Audit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 – Classification decisions, assignment actions and errors are recorded. </w:t>
      </w:r>
    </w:p>
    <w:p w14:paraId="2D81EA25" w14:textId="1E878279" w:rsidR="0064427D" w:rsidRPr="0064427D" w:rsidRDefault="0064427D" w:rsidP="0064427D">
      <w:pPr>
        <w:rPr>
          <w:rFonts w:ascii="Arial" w:eastAsia="Arial" w:hAnsi="Arial" w:cs="Arial"/>
          <w:color w:val="000000"/>
          <w:sz w:val="24"/>
          <w:szCs w:val="24"/>
        </w:rPr>
      </w:pP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This follows the project's documented architecture of </w:t>
      </w:r>
      <w:r w:rsidRPr="0064427D">
        <w:rPr>
          <w:rFonts w:ascii="Arial" w:eastAsia="Arial" w:hAnsi="Arial" w:cs="Arial"/>
          <w:b/>
          <w:bCs/>
          <w:color w:val="000000"/>
          <w:sz w:val="24"/>
          <w:szCs w:val="24"/>
        </w:rPr>
        <w:t>Trigger &amp; Event Ingestion → Content Evaluation &amp; Parsing → Decision Matrix &amp; Conditional Branching → Assignment/Processing</w:t>
      </w:r>
      <w:r w:rsidRPr="0064427D"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2B3DB86C" w14:textId="63008AA9" w:rsidR="00E370AF" w:rsidRPr="0064427D" w:rsidRDefault="00E370AF">
      <w:pPr>
        <w:rPr>
          <w:b/>
          <w:sz w:val="28"/>
          <w:szCs w:val="28"/>
        </w:rPr>
      </w:pPr>
    </w:p>
    <w:p w14:paraId="1C1442E4" w14:textId="7D5FCC93" w:rsidR="00E370AF" w:rsidRPr="0064427D" w:rsidRDefault="0064427D">
      <w:pPr>
        <w:rPr>
          <w:b/>
          <w:sz w:val="28"/>
          <w:szCs w:val="28"/>
        </w:rPr>
      </w:pPr>
      <w:r w:rsidRPr="0064427D">
        <w:rPr>
          <w:b/>
          <w:sz w:val="28"/>
          <w:szCs w:val="28"/>
        </w:rPr>
        <w:t>Solution Architecture &amp; Data Flow</w:t>
      </w:r>
    </w:p>
    <w:p w14:paraId="5056DFCC" w14:textId="5F381105" w:rsidR="00E370AF" w:rsidRDefault="0064427D">
      <w:pPr>
        <w:rPr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388775" wp14:editId="37D90CF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619625" cy="2362200"/>
            <wp:effectExtent l="0" t="0" r="9525" b="0"/>
            <wp:wrapNone/>
            <wp:docPr id="184469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F69FE28" wp14:editId="16582DB7">
                <wp:extent cx="304800" cy="304800"/>
                <wp:effectExtent l="0" t="0" r="0" b="0"/>
                <wp:docPr id="1572132790" name="Rectangle 1" descr="Generated image: ServiceNow Solution Architecture 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37C8F" id="Rectangle 1" o:spid="_x0000_s1026" alt="Generated image: ServiceNow Solution Architecture Flo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41EFE03-E019-4217-B9CE-7B0FE25240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3275DA-F8F8-4666-A0A3-14FC16AA4674}"/>
    <w:embedBold r:id="rId3" w:fontKey="{3607A47E-386D-41ED-95D3-E063EC8973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C228129-570B-4C8A-82E1-B812344B3CF8}"/>
    <w:embedItalic r:id="rId5" w:fontKey="{72812C0F-993A-4068-BAA8-23A5F4B247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B16C26C-0F6B-4120-8184-A3E227093C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C95"/>
    <w:multiLevelType w:val="multilevel"/>
    <w:tmpl w:val="AC9E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1"/>
  </w:num>
  <w:num w:numId="2" w16cid:durableId="33562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4427D"/>
    <w:rsid w:val="00862077"/>
    <w:rsid w:val="009066F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Aravind Kumar S</cp:lastModifiedBy>
  <cp:revision>3</cp:revision>
  <dcterms:created xsi:type="dcterms:W3CDTF">2022-10-03T08:27:00Z</dcterms:created>
  <dcterms:modified xsi:type="dcterms:W3CDTF">2026-10-03T10:22:00Z</dcterms:modified>
</cp:coreProperties>
</file>