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Development Phase</w:t>
      </w:r>
    </w:p>
    <w:p>
      <w:pPr>
        <w:jc w:val="center"/>
      </w:pPr>
      <w:r>
        <w:rPr>
          <w:b/>
          <w:sz w:val="28"/>
        </w:rPr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03 October 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12"/>
          </w:tcPr>
          <w:p>
            <w:r>
              <w:t>SWTID-2026-8726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12"/>
          </w:tcPr>
          <w:p>
            <w:r>
              <w:t>Auto Ticket Classification using FLOW DESIGNER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112"/>
          </w:tcPr>
          <w:p>
            <w:r>
              <w:t>10 Marks</w:t>
            </w:r>
          </w:p>
        </w:tc>
      </w:tr>
    </w:tbl>
    <w:p/>
    <w:p>
      <w:r>
        <w:rPr>
          <w:b/>
          <w:sz w:val="24"/>
        </w:rPr>
        <w:t>Model Performance Testing:</w:t>
      </w:r>
    </w:p>
    <w:p>
      <w:r>
        <w:t>The current Auto Ticket Classification solution is implemented as a rule-based ServiceNow Flow Designer workflow. The uploaded project documentation reports system-level routing performance, but it does not provide a trained machine-learning model, confusion matrix, or classification report. Therefore, unsupported ML metrics are marked Not Applicable / Not Reported.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Values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Metrics – Regression Model</w:t>
            </w:r>
          </w:p>
        </w:tc>
        <w:tc>
          <w:tcPr>
            <w:tcW w:type="dxa" w:w="3408"/>
            <w:vAlign w:val="center"/>
          </w:tcPr>
          <w:p>
            <w:r>
              <w:t>MAE – Not Applicable</w:t>
              <w:br/>
              <w:t>MSE – Not Applicable</w:t>
              <w:br/>
              <w:t>RMSE – Not Applicable</w:t>
              <w:br/>
              <w:t>R² Score – Not Applicable</w:t>
            </w:r>
          </w:p>
        </w:tc>
      </w:tr>
      <w:tr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>
              <w:t>Classification Model</w:t>
            </w:r>
          </w:p>
        </w:tc>
        <w:tc>
          <w:tcPr>
            <w:tcW w:type="dxa" w:w="3408"/>
            <w:vAlign w:val="center"/>
          </w:tcPr>
          <w:p>
            <w:r>
              <w:t>Confusion Matrix – Not Reported</w:t>
              <w:br/>
              <w:t>Accuracy Score – 96.8% routing accuracy (documented system-level result)</w:t>
              <w:br/>
              <w:t>Classification Report – Not Reported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Tune the Model – Hyperparameter Tuning</w:t>
            </w:r>
          </w:p>
        </w:tc>
        <w:tc>
          <w:tcPr>
            <w:tcW w:type="dxa" w:w="3408"/>
            <w:vAlign w:val="center"/>
          </w:tcPr>
          <w:p>
            <w:r>
              <w:t>Not Applicable – the current solution uses configured Flow Designer rules/conditions rather than a trainable ML model.</w:t>
            </w:r>
          </w:p>
        </w:tc>
      </w:tr>
      <w:tr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>
              <w:t>Validation Method</w:t>
            </w:r>
          </w:p>
        </w:tc>
        <w:tc>
          <w:tcPr>
            <w:tcW w:type="dxa" w:w="3408"/>
            <w:vAlign w:val="center"/>
          </w:tcPr>
          <w:p>
            <w:r>
              <w:t>Functional/system validation using representative ticket scenarios, classification and routing tests, fallback handling and performance testing. A separate ML train/validation split is not documented for the current implementation.</w:t>
            </w:r>
          </w:p>
        </w:tc>
      </w:tr>
    </w:tbl>
    <w:p/>
    <w:p>
      <w:r>
        <w:rPr>
          <w:b/>
        </w:rPr>
        <w:t>Important:</w:t>
      </w:r>
      <w:r>
        <w:t xml:space="preserve"> The 96.8% figure is the project's documented routing accuracy, not a machine-learning classification accuracy derived from a confusion matrix.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