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</w:r>
    </w:p>
    <w:p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00"/>
          </w:tcPr>
          <w:p>
            <w:r>
              <w:t>03 October 2026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00"/>
          </w:tcPr>
          <w:p>
            <w:r>
              <w:t>SWTID-2026-8726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00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00"/>
          </w:tcPr>
          <w:p>
            <w:r>
              <w:t>10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The project team shall fill the following information in the model performance testing template. The current solution uses ServiceNow Flow Designer rule-based automation for ticket classification, priority assignment and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792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194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6048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232"/>
          </w:tcPr>
          <w:p>
            <w:r>
              <w:rPr>
                <w:b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r>
              <w:t>1</w:t>
            </w:r>
          </w:p>
        </w:tc>
        <w:tc>
          <w:tcPr>
            <w:tcW w:type="dxa" w:w="1944"/>
            <w:vAlign w:val="center"/>
          </w:tcPr>
          <w:p>
            <w:r>
              <w:t>Model Summary</w:t>
            </w:r>
          </w:p>
        </w:tc>
        <w:tc>
          <w:tcPr>
            <w:tcW w:type="dxa" w:w="6048"/>
            <w:vAlign w:val="center"/>
          </w:tcPr>
          <w:p>
            <w:r>
              <w:t>ServiceNow Flow Designer automation setup for automatic ticket classification, priority assignment and assignment-group routing.</w:t>
              <w:br/>
              <w:br/>
              <w:t>Note: When a new ticket is created, the workflow evaluates ticket information and configured conditions. Matching rules assign category, priority and assignment group; unmatched tickets are sent to the General Support Triage Queue.</w:t>
            </w:r>
          </w:p>
        </w:tc>
        <w:tc>
          <w:tcPr>
            <w:tcW w:type="dxa" w:w="2232"/>
            <w:vAlign w:val="center"/>
          </w:tcPr>
          <w:p>
            <w:r>
              <w:t>Insert Flow Designer workflow screenshot</w:t>
            </w:r>
          </w:p>
        </w:tc>
      </w:tr>
      <w:tr>
        <w:tc>
          <w:tcPr>
            <w:tcW w:type="dxa" w:w="792"/>
            <w:vAlign w:val="center"/>
          </w:tcPr>
          <w:p>
            <w:r>
              <w:t>2</w:t>
            </w:r>
          </w:p>
        </w:tc>
        <w:tc>
          <w:tcPr>
            <w:tcW w:type="dxa" w:w="1944"/>
            <w:vAlign w:val="center"/>
          </w:tcPr>
          <w:p>
            <w:r>
              <w:t>Accuracy</w:t>
            </w:r>
          </w:p>
        </w:tc>
        <w:tc>
          <w:tcPr>
            <w:tcW w:type="dxa" w:w="6048"/>
            <w:vAlign w:val="center"/>
          </w:tcPr>
          <w:p>
            <w:r>
              <w:t>Training Accuracy – Not Applicable (no ML model trained)</w:t>
              <w:br/>
              <w:br/>
              <w:t>Validation Accuracy – Not Applicable (rule-based workflow)</w:t>
              <w:br/>
              <w:br/>
              <w:t>Documented Routing Accuracy – 96.8%</w:t>
              <w:br/>
              <w:t>Documented SLA Compliance – 98.5%</w:t>
            </w:r>
          </w:p>
        </w:tc>
        <w:tc>
          <w:tcPr>
            <w:tcW w:type="dxa" w:w="2232"/>
            <w:vAlign w:val="center"/>
          </w:tcPr>
          <w:p>
            <w:r>
              <w:t>Insert test-result / routing screenshot</w:t>
            </w:r>
          </w:p>
        </w:tc>
      </w:tr>
      <w:tr>
        <w:tc>
          <w:tcPr>
            <w:tcW w:type="dxa" w:w="792"/>
            <w:vAlign w:val="center"/>
          </w:tcPr>
          <w:p>
            <w:r>
              <w:t>3</w:t>
            </w:r>
          </w:p>
        </w:tc>
        <w:tc>
          <w:tcPr>
            <w:tcW w:type="dxa" w:w="1944"/>
            <w:vAlign w:val="center"/>
          </w:tcPr>
          <w:p>
            <w:r>
              <w:t>Confidence Score (Only Yolo Projects)</w:t>
            </w:r>
          </w:p>
        </w:tc>
        <w:tc>
          <w:tcPr>
            <w:tcW w:type="dxa" w:w="6048"/>
            <w:vAlign w:val="center"/>
          </w:tcPr>
          <w:p>
            <w:r>
              <w:t>Not Applicable – this is not a YOLO object-detection project.</w:t>
              <w:br/>
              <w:br/>
              <w:t>No object class detection or model confidence score is used in the current solution.</w:t>
            </w:r>
          </w:p>
        </w:tc>
        <w:tc>
          <w:tcPr>
            <w:tcW w:type="dxa" w:w="2232"/>
            <w:vAlign w:val="center"/>
          </w:tcPr>
          <w:p>
            <w:r>
              <w:t>Not Applicable</w:t>
            </w:r>
          </w:p>
        </w:tc>
      </w:tr>
    </w:tbl>
    <w:p/>
    <w:p>
      <w:r>
        <w:rPr>
          <w:b/>
        </w:rPr>
        <w:t>Note:</w:t>
      </w:r>
      <w:r>
        <w:t xml:space="preserve"> The 96.8% value is the documented system routing accuracy, not ML training or validation accuracy. The current Auto Ticket Classification implementation is rule-based Flow Designer automation.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