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future-expansion-blueprint"/>
    <w:p>
      <w:pPr>
        <w:pStyle w:val="Heading1"/>
      </w:pPr>
      <w:r>
        <w:t xml:space="preserve">FUTURE EXPANSION BLUEPRINT</w:t>
      </w:r>
    </w:p>
    <w:bookmarkStart w:id="21" w:name="X102b573d6af59127eb58242f4b3f77691f91355"/>
    <w:p>
      <w:pPr>
        <w:pStyle w:val="Heading2"/>
      </w:pPr>
      <w:r>
        <w:t xml:space="preserve">Unievents – Long-Term Architectural Evolution Plan</w:t>
      </w:r>
    </w:p>
    <w:bookmarkStart w:id="20" w:name="version-1"/>
    <w:p>
      <w:pPr>
        <w:pStyle w:val="Heading3"/>
      </w:pPr>
      <w:r>
        <w:t xml:space="preserve">Version 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structured future growth paths beyond the core institutional system.</w:t>
      </w:r>
    </w:p>
    <w:p>
      <w:pPr>
        <w:pStyle w:val="BodyText"/>
      </w:pPr>
      <w:r>
        <w:t xml:space="preserve">The goal is to ensure:</w:t>
      </w:r>
    </w:p>
    <w:p>
      <w:pPr>
        <w:pStyle w:val="Compact"/>
        <w:numPr>
          <w:ilvl w:val="0"/>
          <w:numId w:val="1001"/>
        </w:numPr>
      </w:pPr>
      <w:r>
        <w:t xml:space="preserve">No future feature requires database redesign</w:t>
      </w:r>
    </w:p>
    <w:p>
      <w:pPr>
        <w:pStyle w:val="Compact"/>
        <w:numPr>
          <w:ilvl w:val="0"/>
          <w:numId w:val="1001"/>
        </w:numPr>
      </w:pPr>
      <w:r>
        <w:t xml:space="preserve">No architectural restructuring is needed</w:t>
      </w:r>
    </w:p>
    <w:p>
      <w:pPr>
        <w:pStyle w:val="Compact"/>
        <w:numPr>
          <w:ilvl w:val="0"/>
          <w:numId w:val="1001"/>
        </w:numPr>
      </w:pPr>
      <w:r>
        <w:t xml:space="preserve">The system can scale academically and institutionally</w:t>
      </w:r>
    </w:p>
    <w:p>
      <w:pPr>
        <w:pStyle w:val="Compact"/>
        <w:numPr>
          <w:ilvl w:val="0"/>
          <w:numId w:val="1001"/>
        </w:numPr>
      </w:pPr>
      <w:r>
        <w:t xml:space="preserve">Expansion remains modular and controlled</w:t>
      </w:r>
    </w:p>
    <w:p>
      <w:pPr>
        <w:pStyle w:val="FirstParagraph"/>
      </w:pPr>
      <w:r>
        <w:t xml:space="preserve">Core system remains stable. Expansion layers attach without breaking foundation.</w:t>
      </w:r>
    </w:p>
    <w:p>
      <w:r>
        <w:pict>
          <v:rect style="width:0;height:1.5pt" o:hralign="center" o:hrstd="t" o:hr="t"/>
        </w:pict>
      </w:r>
    </w:p>
    <w:bookmarkEnd w:id="22"/>
    <w:bookmarkStart w:id="23" w:name="X566a4f20b9250940fac65cd1ed1744e6c28989b"/>
    <w:p>
      <w:pPr>
        <w:pStyle w:val="Heading2"/>
      </w:pPr>
      <w:r>
        <w:t xml:space="preserve">2. Expansion Philosophy</w:t>
      </w:r>
    </w:p>
    <w:p>
      <w:pPr>
        <w:pStyle w:val="FirstParagraph"/>
      </w:pPr>
      <w:r>
        <w:t xml:space="preserve">All future features must:</w:t>
      </w:r>
    </w:p>
    <w:p>
      <w:pPr>
        <w:pStyle w:val="Compact"/>
        <w:numPr>
          <w:ilvl w:val="0"/>
          <w:numId w:val="1002"/>
        </w:numPr>
      </w:pPr>
      <w:r>
        <w:t xml:space="preserve">Respect lifecycle model</w:t>
      </w:r>
    </w:p>
    <w:p>
      <w:pPr>
        <w:pStyle w:val="Compact"/>
        <w:numPr>
          <w:ilvl w:val="0"/>
          <w:numId w:val="1002"/>
        </w:numPr>
      </w:pPr>
      <w:r>
        <w:t xml:space="preserve">Respect ownership rules</w:t>
      </w:r>
    </w:p>
    <w:p>
      <w:pPr>
        <w:pStyle w:val="Compact"/>
        <w:numPr>
          <w:ilvl w:val="0"/>
          <w:numId w:val="1002"/>
        </w:numPr>
      </w:pPr>
      <w:r>
        <w:t xml:space="preserve">Respect soft delete logic</w:t>
      </w:r>
    </w:p>
    <w:p>
      <w:pPr>
        <w:pStyle w:val="Compact"/>
        <w:numPr>
          <w:ilvl w:val="0"/>
          <w:numId w:val="1002"/>
        </w:numPr>
      </w:pPr>
      <w:r>
        <w:t xml:space="preserve">Respect role-based access</w:t>
      </w:r>
    </w:p>
    <w:p>
      <w:pPr>
        <w:pStyle w:val="Compact"/>
        <w:numPr>
          <w:ilvl w:val="0"/>
          <w:numId w:val="1002"/>
        </w:numPr>
      </w:pPr>
      <w:r>
        <w:t xml:space="preserve">Remain modular</w:t>
      </w:r>
    </w:p>
    <w:p>
      <w:pPr>
        <w:pStyle w:val="FirstParagraph"/>
      </w:pPr>
      <w:r>
        <w:t xml:space="preserve">No future feature should modify core structural contracts (API base, lifecycle enum, role enum).</w:t>
      </w:r>
    </w:p>
    <w:p>
      <w:r>
        <w:pict>
          <v:rect style="width:0;height:1.5pt" o:hralign="center" o:hrstd="t" o:hr="t"/>
        </w:pict>
      </w:r>
    </w:p>
    <w:bookmarkEnd w:id="23"/>
    <w:bookmarkStart w:id="29" w:name="X3a6cd53c70e57e4bde2b0f9efc6e5aec3ddae60"/>
    <w:p>
      <w:pPr>
        <w:pStyle w:val="Heading2"/>
      </w:pPr>
      <w:r>
        <w:t xml:space="preserve">3. Media Management Module</w:t>
      </w:r>
    </w:p>
    <w:bookmarkStart w:id="24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Attach structured media to events.</w:t>
      </w:r>
    </w:p>
    <w:bookmarkEnd w:id="24"/>
    <w:bookmarkStart w:id="25" w:name="future-additions"/>
    <w:p>
      <w:pPr>
        <w:pStyle w:val="Heading3"/>
      </w:pPr>
      <w:r>
        <w:t xml:space="preserve">Future Additions</w:t>
      </w:r>
    </w:p>
    <w:p>
      <w:pPr>
        <w:pStyle w:val="Compact"/>
        <w:numPr>
          <w:ilvl w:val="0"/>
          <w:numId w:val="1003"/>
        </w:numPr>
      </w:pPr>
      <w:r>
        <w:t xml:space="preserve">Media array in Events collection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 | video | 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storage-options"/>
    <w:p>
      <w:pPr>
        <w:pStyle w:val="Heading3"/>
      </w:pPr>
      <w:r>
        <w:t xml:space="preserve">Storage Options</w:t>
      </w:r>
    </w:p>
    <w:p>
      <w:pPr>
        <w:pStyle w:val="Compact"/>
        <w:numPr>
          <w:ilvl w:val="0"/>
          <w:numId w:val="1004"/>
        </w:numPr>
      </w:pPr>
      <w:r>
        <w:t xml:space="preserve">Cloud storage integration</w:t>
      </w:r>
    </w:p>
    <w:p>
      <w:pPr>
        <w:pStyle w:val="Compact"/>
        <w:numPr>
          <w:ilvl w:val="0"/>
          <w:numId w:val="1004"/>
        </w:numPr>
      </w:pPr>
      <w:r>
        <w:t xml:space="preserve">Local storage abstraction layer</w:t>
      </w:r>
    </w:p>
    <w:bookmarkEnd w:id="26"/>
    <w:bookmarkStart w:id="27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5"/>
        </w:numPr>
      </w:pPr>
      <w:r>
        <w:t xml:space="preserve">Media cannot be added to archived events</w:t>
      </w:r>
    </w:p>
    <w:p>
      <w:pPr>
        <w:pStyle w:val="Compact"/>
        <w:numPr>
          <w:ilvl w:val="0"/>
          <w:numId w:val="1005"/>
        </w:numPr>
      </w:pPr>
      <w:r>
        <w:t xml:space="preserve">Media deletion follows soft-delete principles</w:t>
      </w:r>
    </w:p>
    <w:p>
      <w:pPr>
        <w:pStyle w:val="Compact"/>
        <w:numPr>
          <w:ilvl w:val="0"/>
          <w:numId w:val="1005"/>
        </w:numPr>
      </w:pPr>
      <w:r>
        <w:t xml:space="preserve">Admin can moderate media</w:t>
      </w:r>
    </w:p>
    <w:bookmarkEnd w:id="27"/>
    <w:bookmarkStart w:id="28" w:name="architectural-impact"/>
    <w:p>
      <w:pPr>
        <w:pStyle w:val="Heading3"/>
      </w:pPr>
      <w:r>
        <w:t xml:space="preserve">Architectural Impact</w:t>
      </w:r>
    </w:p>
    <w:p>
      <w:pPr>
        <w:pStyle w:val="FirstParagraph"/>
      </w:pPr>
      <w:r>
        <w:t xml:space="preserve">No schema redesign required. Only field extension.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cbf211d9bd06d72f846274fb0e4ea5847b79ca5"/>
    <w:p>
      <w:pPr>
        <w:pStyle w:val="Heading2"/>
      </w:pPr>
      <w:r>
        <w:t xml:space="preserve">4. Event Planning Tools Module</w:t>
      </w:r>
    </w:p>
    <w:bookmarkStart w:id="30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Add operational planning intelligence.</w:t>
      </w:r>
    </w:p>
    <w:bookmarkEnd w:id="30"/>
    <w:bookmarkStart w:id="31" w:name="future-additions-1"/>
    <w:p>
      <w:pPr>
        <w:pStyle w:val="Heading3"/>
      </w:pPr>
      <w:r>
        <w:t xml:space="preserve">Future Additions</w:t>
      </w:r>
    </w:p>
    <w:p>
      <w:pPr>
        <w:pStyle w:val="Compact"/>
        <w:numPr>
          <w:ilvl w:val="0"/>
          <w:numId w:val="1006"/>
        </w:numPr>
      </w:pPr>
      <w:r>
        <w:t xml:space="preserve">Checklist array</w:t>
      </w:r>
    </w:p>
    <w:p>
      <w:pPr>
        <w:pStyle w:val="Compact"/>
        <w:numPr>
          <w:ilvl w:val="0"/>
          <w:numId w:val="1006"/>
        </w:numPr>
      </w:pPr>
      <w:r>
        <w:t xml:space="preserve">Task assignment to organizers</w:t>
      </w:r>
    </w:p>
    <w:p>
      <w:pPr>
        <w:pStyle w:val="Compact"/>
        <w:numPr>
          <w:ilvl w:val="0"/>
          <w:numId w:val="1006"/>
        </w:numPr>
      </w:pPr>
      <w:r>
        <w:t xml:space="preserve">Agenda structure</w:t>
      </w:r>
    </w:p>
    <w:p>
      <w:pPr>
        <w:pStyle w:val="Compact"/>
        <w:numPr>
          <w:ilvl w:val="0"/>
          <w:numId w:val="1006"/>
        </w:numPr>
      </w:pPr>
      <w:r>
        <w:t xml:space="preserve">Internal notes (organizer/admin only)</w:t>
      </w:r>
    </w:p>
    <w:bookmarkEnd w:id="31"/>
    <w:bookmarkStart w:id="32" w:name="example-fields"/>
    <w:p>
      <w:pPr>
        <w:pStyle w:val="Heading3"/>
      </w:pPr>
      <w:r>
        <w:t xml:space="preserve">Example Fields</w:t>
      </w:r>
    </w:p>
    <w:p>
      <w:pPr>
        <w:pStyle w:val="SourceCode"/>
      </w:pPr>
      <w:r>
        <w:rPr>
          <w:rStyle w:val="ErrorTok"/>
        </w:rPr>
        <w:t xml:space="preserve">checklist: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"assignedTo"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2"/>
    <w:bookmarkStart w:id="33" w:name="rules-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7"/>
        </w:numPr>
      </w:pPr>
      <w:r>
        <w:t xml:space="preserve">Only organizers and admin access planning tools</w:t>
      </w:r>
    </w:p>
    <w:p>
      <w:pPr>
        <w:pStyle w:val="Compact"/>
        <w:numPr>
          <w:ilvl w:val="0"/>
          <w:numId w:val="1007"/>
        </w:numPr>
      </w:pPr>
      <w:r>
        <w:t xml:space="preserve">Students cannot view internal planning</w:t>
      </w:r>
    </w:p>
    <w:bookmarkEnd w:id="33"/>
    <w:bookmarkStart w:id="34" w:name="architectural-impact-1"/>
    <w:p>
      <w:pPr>
        <w:pStyle w:val="Heading3"/>
      </w:pPr>
      <w:r>
        <w:t xml:space="preserve">Architectural Impact</w:t>
      </w:r>
    </w:p>
    <w:p>
      <w:pPr>
        <w:pStyle w:val="FirstParagraph"/>
      </w:pPr>
      <w:r>
        <w:t xml:space="preserve">Stored as embedded arrays inside Event document.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c9c070d05214fdeae5a01b9627ad187710ad338"/>
    <w:p>
      <w:pPr>
        <w:pStyle w:val="Heading2"/>
      </w:pPr>
      <w:r>
        <w:t xml:space="preserve">5. Analytics &amp; Metrics Module</w:t>
      </w:r>
    </w:p>
    <w:bookmarkStart w:id="36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 institutional performance visibility.</w:t>
      </w:r>
    </w:p>
    <w:bookmarkEnd w:id="36"/>
    <w:bookmarkStart w:id="37" w:name="future-metrics"/>
    <w:p>
      <w:pPr>
        <w:pStyle w:val="Heading3"/>
      </w:pPr>
      <w:r>
        <w:t xml:space="preserve">Future Metrics</w:t>
      </w:r>
    </w:p>
    <w:p>
      <w:pPr>
        <w:pStyle w:val="Compact"/>
        <w:numPr>
          <w:ilvl w:val="0"/>
          <w:numId w:val="1008"/>
        </w:numPr>
      </w:pPr>
      <w:r>
        <w:t xml:space="preserve">Total events per year</w:t>
      </w:r>
    </w:p>
    <w:p>
      <w:pPr>
        <w:pStyle w:val="Compact"/>
        <w:numPr>
          <w:ilvl w:val="0"/>
          <w:numId w:val="1008"/>
        </w:numPr>
      </w:pPr>
      <w:r>
        <w:t xml:space="preserve">Category distribution</w:t>
      </w:r>
    </w:p>
    <w:p>
      <w:pPr>
        <w:pStyle w:val="Compact"/>
        <w:numPr>
          <w:ilvl w:val="0"/>
          <w:numId w:val="1008"/>
        </w:numPr>
      </w:pPr>
      <w:r>
        <w:t xml:space="preserve">Organizer activity metrics</w:t>
      </w:r>
    </w:p>
    <w:p>
      <w:pPr>
        <w:pStyle w:val="Compact"/>
        <w:numPr>
          <w:ilvl w:val="0"/>
          <w:numId w:val="1008"/>
        </w:numPr>
      </w:pPr>
      <w:r>
        <w:t xml:space="preserve">Archive growth trends</w:t>
      </w:r>
    </w:p>
    <w:p>
      <w:pPr>
        <w:pStyle w:val="Compact"/>
        <w:numPr>
          <w:ilvl w:val="0"/>
          <w:numId w:val="1008"/>
        </w:numPr>
      </w:pPr>
      <w:r>
        <w:t xml:space="preserve">Event publication frequency</w:t>
      </w:r>
    </w:p>
    <w:bookmarkEnd w:id="37"/>
    <w:bookmarkStart w:id="38" w:name="implementation-approach"/>
    <w:p>
      <w:pPr>
        <w:pStyle w:val="Heading3"/>
      </w:pPr>
      <w:r>
        <w:t xml:space="preserve">Implementation Approach</w:t>
      </w:r>
    </w:p>
    <w:p>
      <w:pPr>
        <w:pStyle w:val="Compact"/>
        <w:numPr>
          <w:ilvl w:val="0"/>
          <w:numId w:val="1009"/>
        </w:numPr>
      </w:pPr>
      <w:r>
        <w:t xml:space="preserve">Aggregation pipelines in MongoDB</w:t>
      </w:r>
    </w:p>
    <w:p>
      <w:pPr>
        <w:pStyle w:val="Compact"/>
        <w:numPr>
          <w:ilvl w:val="0"/>
          <w:numId w:val="1009"/>
        </w:numPr>
      </w:pPr>
      <w:r>
        <w:t xml:space="preserve">Optional separate analytics collection</w:t>
      </w:r>
    </w:p>
    <w:bookmarkEnd w:id="38"/>
    <w:bookmarkStart w:id="39" w:name="rules-2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Analytics must not modify core event data.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752fa1e6cea2e78b738b3db3ade44b0f6e510e7"/>
    <w:p>
      <w:pPr>
        <w:pStyle w:val="Heading2"/>
      </w:pPr>
      <w:r>
        <w:t xml:space="preserve">6. Advanced Search &amp; Indexing</w:t>
      </w:r>
    </w:p>
    <w:bookmarkStart w:id="41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Improve archive intelligence.</w:t>
      </w:r>
    </w:p>
    <w:bookmarkEnd w:id="41"/>
    <w:bookmarkStart w:id="42" w:name="future-enhancements"/>
    <w:p>
      <w:pPr>
        <w:pStyle w:val="Heading3"/>
      </w:pPr>
      <w:r>
        <w:t xml:space="preserve">Future Enhancements</w:t>
      </w:r>
    </w:p>
    <w:p>
      <w:pPr>
        <w:pStyle w:val="Compact"/>
        <w:numPr>
          <w:ilvl w:val="0"/>
          <w:numId w:val="1010"/>
        </w:numPr>
      </w:pPr>
      <w:r>
        <w:t xml:space="preserve">Full-text search indexing</w:t>
      </w:r>
    </w:p>
    <w:p>
      <w:pPr>
        <w:pStyle w:val="Compact"/>
        <w:numPr>
          <w:ilvl w:val="0"/>
          <w:numId w:val="1010"/>
        </w:numPr>
      </w:pPr>
      <w:r>
        <w:t xml:space="preserve">Search relevance scoring</w:t>
      </w:r>
    </w:p>
    <w:p>
      <w:pPr>
        <w:pStyle w:val="Compact"/>
        <w:numPr>
          <w:ilvl w:val="0"/>
          <w:numId w:val="1010"/>
        </w:numPr>
      </w:pPr>
      <w:r>
        <w:t xml:space="preserve">Advanced filters (date ranges, semester)</w:t>
      </w:r>
    </w:p>
    <w:p>
      <w:pPr>
        <w:pStyle w:val="Compact"/>
        <w:numPr>
          <w:ilvl w:val="0"/>
          <w:numId w:val="1010"/>
        </w:numPr>
      </w:pPr>
      <w:r>
        <w:t xml:space="preserve">Pagination and sorting optimization</w:t>
      </w:r>
    </w:p>
    <w:bookmarkEnd w:id="42"/>
    <w:bookmarkStart w:id="43" w:name="possible-tools"/>
    <w:p>
      <w:pPr>
        <w:pStyle w:val="Heading3"/>
      </w:pPr>
      <w:r>
        <w:t xml:space="preserve">Possible Tools</w:t>
      </w:r>
    </w:p>
    <w:p>
      <w:pPr>
        <w:pStyle w:val="Compact"/>
        <w:numPr>
          <w:ilvl w:val="0"/>
          <w:numId w:val="1011"/>
        </w:numPr>
      </w:pPr>
      <w:r>
        <w:t xml:space="preserve">MongoDB text index</w:t>
      </w:r>
    </w:p>
    <w:p>
      <w:pPr>
        <w:pStyle w:val="Compact"/>
        <w:numPr>
          <w:ilvl w:val="0"/>
          <w:numId w:val="1011"/>
        </w:numPr>
      </w:pPr>
      <w:r>
        <w:t xml:space="preserve">External search engine (if scaled)</w:t>
      </w:r>
    </w:p>
    <w:bookmarkEnd w:id="43"/>
    <w:bookmarkStart w:id="44" w:name="architectural-impact-2"/>
    <w:p>
      <w:pPr>
        <w:pStyle w:val="Heading3"/>
      </w:pPr>
      <w:r>
        <w:t xml:space="preserve">Architectural Impact</w:t>
      </w:r>
    </w:p>
    <w:p>
      <w:pPr>
        <w:pStyle w:val="FirstParagraph"/>
      </w:pPr>
      <w:r>
        <w:t xml:space="preserve">No schema redesign required.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55b31ef83f57f5551b3f09192a66f6d3ce670e1"/>
    <w:p>
      <w:pPr>
        <w:pStyle w:val="Heading2"/>
      </w:pPr>
      <w:r>
        <w:t xml:space="preserve">7. Multi-Organizer Collaboration</w:t>
      </w:r>
    </w:p>
    <w:bookmarkStart w:id="46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multiple organizers to manage one event.</w:t>
      </w:r>
    </w:p>
    <w:bookmarkEnd w:id="46"/>
    <w:bookmarkStart w:id="47" w:name="future-additions-2"/>
    <w:p>
      <w:pPr>
        <w:pStyle w:val="Heading3"/>
      </w:pPr>
      <w:r>
        <w:t xml:space="preserve">Future Additions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organizers</w:t>
      </w:r>
      <w:r>
        <w:t xml:space="preserve">: [ObjectId references to Users]</w:t>
      </w:r>
    </w:p>
    <w:bookmarkEnd w:id="47"/>
    <w:bookmarkStart w:id="48" w:name="rules-3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13"/>
        </w:numPr>
      </w:pPr>
      <w:r>
        <w:t xml:space="preserve">Ownership becomes shared</w:t>
      </w:r>
    </w:p>
    <w:p>
      <w:pPr>
        <w:pStyle w:val="Compact"/>
        <w:numPr>
          <w:ilvl w:val="0"/>
          <w:numId w:val="1013"/>
        </w:numPr>
      </w:pPr>
      <w:r>
        <w:t xml:space="preserve">Lifecycle authority defined by role hierarchy</w:t>
      </w:r>
    </w:p>
    <w:p>
      <w:pPr>
        <w:pStyle w:val="Compact"/>
        <w:numPr>
          <w:ilvl w:val="0"/>
          <w:numId w:val="1013"/>
        </w:numPr>
      </w:pPr>
      <w:r>
        <w:t xml:space="preserve">Admin retains override authority</w:t>
      </w:r>
    </w:p>
    <w:bookmarkEnd w:id="48"/>
    <w:bookmarkStart w:id="49" w:name="architectural-impact-3"/>
    <w:p>
      <w:pPr>
        <w:pStyle w:val="Heading3"/>
      </w:pPr>
      <w:r>
        <w:t xml:space="preserve">Architectural Impact</w:t>
      </w:r>
    </w:p>
    <w:p>
      <w:pPr>
        <w:pStyle w:val="FirstParagraph"/>
      </w:pPr>
      <w:r>
        <w:t xml:space="preserve">Extend ownership logic without changing lifecycle model.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851ffc6cf0cf534d129d57188c9bb8313ae8dd6"/>
    <w:p>
      <w:pPr>
        <w:pStyle w:val="Heading2"/>
      </w:pPr>
      <w:r>
        <w:t xml:space="preserve">8. Multi-University / SaaS Scalability</w:t>
      </w:r>
    </w:p>
    <w:bookmarkStart w:id="51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Expand beyond single institution.</w:t>
      </w:r>
    </w:p>
    <w:bookmarkEnd w:id="51"/>
    <w:bookmarkStart w:id="52" w:name="future-additions-3"/>
    <w:p>
      <w:pPr>
        <w:pStyle w:val="Heading3"/>
      </w:pPr>
      <w:r>
        <w:t xml:space="preserve">Future Additions</w:t>
      </w:r>
    </w:p>
    <w:p>
      <w:pPr>
        <w:pStyle w:val="Compact"/>
        <w:numPr>
          <w:ilvl w:val="0"/>
          <w:numId w:val="1014"/>
        </w:numPr>
      </w:pPr>
      <w:r>
        <w:t xml:space="preserve">University collection</w:t>
      </w:r>
    </w:p>
    <w:p>
      <w:pPr>
        <w:pStyle w:val="Compact"/>
        <w:numPr>
          <w:ilvl w:val="0"/>
          <w:numId w:val="1014"/>
        </w:numPr>
      </w:pPr>
      <w:r>
        <w:t xml:space="preserve">Events reference</w:t>
      </w:r>
      <w:r>
        <w:t xml:space="preserve"> </w:t>
      </w:r>
      <w:r>
        <w:rPr>
          <w:rStyle w:val="VerbatimChar"/>
        </w:rPr>
        <w:t xml:space="preserve">universityId</w:t>
      </w:r>
    </w:p>
    <w:p>
      <w:pPr>
        <w:pStyle w:val="Compact"/>
        <w:numPr>
          <w:ilvl w:val="0"/>
          <w:numId w:val="1014"/>
        </w:numPr>
      </w:pPr>
      <w:r>
        <w:t xml:space="preserve">Role scoped per university</w:t>
      </w:r>
    </w:p>
    <w:bookmarkEnd w:id="52"/>
    <w:bookmarkStart w:id="53" w:name="design-impact"/>
    <w:p>
      <w:pPr>
        <w:pStyle w:val="Heading3"/>
      </w:pPr>
      <w:r>
        <w:t xml:space="preserve">Design Impact</w:t>
      </w:r>
    </w:p>
    <w:p>
      <w:pPr>
        <w:pStyle w:val="FirstParagraph"/>
      </w:pPr>
      <w:r>
        <w:t xml:space="preserve">System must isolate data per institution.</w:t>
      </w:r>
    </w:p>
    <w:p>
      <w:pPr>
        <w:pStyle w:val="BodyText"/>
      </w:pPr>
      <w:r>
        <w:t xml:space="preserve">Current schema allows this through reference extension.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b654beeec55819c7abe68cff5ac750e9cd8a6ea"/>
    <w:p>
      <w:pPr>
        <w:pStyle w:val="Heading2"/>
      </w:pPr>
      <w:r>
        <w:t xml:space="preserve">9. Activity Logs &amp; Audit Trails</w:t>
      </w:r>
    </w:p>
    <w:bookmarkStart w:id="55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 institutional accountability.</w:t>
      </w:r>
    </w:p>
    <w:bookmarkEnd w:id="55"/>
    <w:bookmarkStart w:id="56" w:name="future-additions-4"/>
    <w:p>
      <w:pPr>
        <w:pStyle w:val="Heading3"/>
      </w:pPr>
      <w:r>
        <w:t xml:space="preserve">Future Additions</w:t>
      </w:r>
    </w:p>
    <w:p>
      <w:pPr>
        <w:pStyle w:val="FirstParagraph"/>
      </w:pPr>
      <w:r>
        <w:t xml:space="preserve">ActivityLog collection: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15"/>
        </w:numPr>
      </w:pPr>
      <w:r>
        <w:t xml:space="preserve">Status changes</w:t>
      </w:r>
    </w:p>
    <w:p>
      <w:pPr>
        <w:pStyle w:val="Compact"/>
        <w:numPr>
          <w:ilvl w:val="0"/>
          <w:numId w:val="1015"/>
        </w:numPr>
      </w:pPr>
      <w:r>
        <w:t xml:space="preserve">Approvals</w:t>
      </w:r>
    </w:p>
    <w:p>
      <w:pPr>
        <w:pStyle w:val="Compact"/>
        <w:numPr>
          <w:ilvl w:val="0"/>
          <w:numId w:val="1015"/>
        </w:numPr>
      </w:pPr>
      <w:r>
        <w:t xml:space="preserve">Deletions</w:t>
      </w:r>
    </w:p>
    <w:p>
      <w:pPr>
        <w:pStyle w:val="Compact"/>
        <w:numPr>
          <w:ilvl w:val="0"/>
          <w:numId w:val="1015"/>
        </w:numPr>
      </w:pPr>
      <w:r>
        <w:t xml:space="preserve">Restorations</w:t>
      </w:r>
    </w:p>
    <w:bookmarkEnd w:id="56"/>
    <w:bookmarkStart w:id="57" w:name="architectural-impact-4"/>
    <w:p>
      <w:pPr>
        <w:pStyle w:val="Heading3"/>
      </w:pPr>
      <w:r>
        <w:t xml:space="preserve">Architectural Impact</w:t>
      </w:r>
    </w:p>
    <w:p>
      <w:pPr>
        <w:pStyle w:val="FirstParagraph"/>
      </w:pPr>
      <w:r>
        <w:t xml:space="preserve">Separate collection. No impact on core schema.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c8b1f149cbd2291f11892a8d1ffe4244379d2cc"/>
    <w:p>
      <w:pPr>
        <w:pStyle w:val="Heading2"/>
      </w:pPr>
      <w:r>
        <w:t xml:space="preserve">10. Notification System</w:t>
      </w:r>
    </w:p>
    <w:bookmarkStart w:id="59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Improve user interaction.</w:t>
      </w:r>
    </w:p>
    <w:bookmarkEnd w:id="59"/>
    <w:bookmarkStart w:id="60" w:name="future-additions-5"/>
    <w:p>
      <w:pPr>
        <w:pStyle w:val="Heading3"/>
      </w:pPr>
      <w:r>
        <w:t xml:space="preserve">Future Additions</w:t>
      </w:r>
    </w:p>
    <w:p>
      <w:pPr>
        <w:pStyle w:val="Compact"/>
        <w:numPr>
          <w:ilvl w:val="0"/>
          <w:numId w:val="1016"/>
        </w:numPr>
      </w:pPr>
      <w:r>
        <w:t xml:space="preserve">Email notifications</w:t>
      </w:r>
    </w:p>
    <w:p>
      <w:pPr>
        <w:pStyle w:val="Compact"/>
        <w:numPr>
          <w:ilvl w:val="0"/>
          <w:numId w:val="1016"/>
        </w:numPr>
      </w:pPr>
      <w:r>
        <w:t xml:space="preserve">In-app notifications</w:t>
      </w:r>
    </w:p>
    <w:p>
      <w:pPr>
        <w:pStyle w:val="Compact"/>
        <w:numPr>
          <w:ilvl w:val="0"/>
          <w:numId w:val="1016"/>
        </w:numPr>
      </w:pPr>
      <w:r>
        <w:t xml:space="preserve">Approval notifications</w:t>
      </w:r>
    </w:p>
    <w:p>
      <w:pPr>
        <w:pStyle w:val="Compact"/>
        <w:numPr>
          <w:ilvl w:val="0"/>
          <w:numId w:val="1016"/>
        </w:numPr>
      </w:pPr>
      <w:r>
        <w:t xml:space="preserve">Archive notifications</w:t>
      </w:r>
    </w:p>
    <w:p>
      <w:pPr>
        <w:pStyle w:val="FirstParagraph"/>
      </w:pPr>
      <w:r>
        <w:t xml:space="preserve">Separate Notification collection.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b7f0edad2e29ab54d27920d1f588299cb2de6e7"/>
    <w:p>
      <w:pPr>
        <w:pStyle w:val="Heading2"/>
      </w:pPr>
      <w:r>
        <w:t xml:space="preserve">11. Reporting &amp; Export Tools</w:t>
      </w:r>
    </w:p>
    <w:bookmarkStart w:id="62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Institutional documentation support.</w:t>
      </w:r>
    </w:p>
    <w:bookmarkEnd w:id="62"/>
    <w:bookmarkStart w:id="63" w:name="future-additions-6"/>
    <w:p>
      <w:pPr>
        <w:pStyle w:val="Heading3"/>
      </w:pPr>
      <w:r>
        <w:t xml:space="preserve">Future Additions</w:t>
      </w:r>
    </w:p>
    <w:p>
      <w:pPr>
        <w:pStyle w:val="Compact"/>
        <w:numPr>
          <w:ilvl w:val="0"/>
          <w:numId w:val="1017"/>
        </w:numPr>
      </w:pPr>
      <w:r>
        <w:t xml:space="preserve">PDF event reports</w:t>
      </w:r>
    </w:p>
    <w:p>
      <w:pPr>
        <w:pStyle w:val="Compact"/>
        <w:numPr>
          <w:ilvl w:val="0"/>
          <w:numId w:val="1017"/>
        </w:numPr>
      </w:pPr>
      <w:r>
        <w:t xml:space="preserve">Year-wise archive export</w:t>
      </w:r>
    </w:p>
    <w:p>
      <w:pPr>
        <w:pStyle w:val="Compact"/>
        <w:numPr>
          <w:ilvl w:val="0"/>
          <w:numId w:val="1017"/>
        </w:numPr>
      </w:pPr>
      <w:r>
        <w:t xml:space="preserve">CSV export of events</w:t>
      </w:r>
    </w:p>
    <w:p>
      <w:pPr>
        <w:pStyle w:val="Compact"/>
        <w:numPr>
          <w:ilvl w:val="0"/>
          <w:numId w:val="1017"/>
        </w:numPr>
      </w:pPr>
      <w:r>
        <w:t xml:space="preserve">Accreditation-ready reports</w:t>
      </w:r>
    </w:p>
    <w:p>
      <w:pPr>
        <w:pStyle w:val="FirstParagraph"/>
      </w:pPr>
      <w:r>
        <w:t xml:space="preserve">These are read-only modules.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X241597722e2c11972de550b80f99e87713589e3"/>
    <w:p>
      <w:pPr>
        <w:pStyle w:val="Heading2"/>
      </w:pPr>
      <w:r>
        <w:t xml:space="preserve">12. Security Expansion</w:t>
      </w:r>
    </w:p>
    <w:bookmarkStart w:id="65" w:name="future-hardening-options"/>
    <w:p>
      <w:pPr>
        <w:pStyle w:val="Heading3"/>
      </w:pPr>
      <w:r>
        <w:t xml:space="preserve">Future Hardening Options</w:t>
      </w:r>
    </w:p>
    <w:p>
      <w:pPr>
        <w:pStyle w:val="Compact"/>
        <w:numPr>
          <w:ilvl w:val="0"/>
          <w:numId w:val="1018"/>
        </w:numPr>
      </w:pPr>
      <w:r>
        <w:t xml:space="preserve">Refresh tokens</w:t>
      </w:r>
    </w:p>
    <w:p>
      <w:pPr>
        <w:pStyle w:val="Compact"/>
        <w:numPr>
          <w:ilvl w:val="0"/>
          <w:numId w:val="1018"/>
        </w:numPr>
      </w:pPr>
      <w:r>
        <w:t xml:space="preserve">Role hierarchy expansion</w:t>
      </w:r>
    </w:p>
    <w:p>
      <w:pPr>
        <w:pStyle w:val="Compact"/>
        <w:numPr>
          <w:ilvl w:val="0"/>
          <w:numId w:val="1018"/>
        </w:numPr>
      </w:pPr>
      <w:r>
        <w:t xml:space="preserve">Permission-based granular control</w:t>
      </w:r>
    </w:p>
    <w:p>
      <w:pPr>
        <w:pStyle w:val="Compact"/>
        <w:numPr>
          <w:ilvl w:val="0"/>
          <w:numId w:val="1018"/>
        </w:numPr>
      </w:pPr>
      <w:r>
        <w:t xml:space="preserve">Rate limiting</w:t>
      </w:r>
    </w:p>
    <w:p>
      <w:pPr>
        <w:pStyle w:val="Compact"/>
        <w:numPr>
          <w:ilvl w:val="0"/>
          <w:numId w:val="1018"/>
        </w:numPr>
      </w:pPr>
      <w:r>
        <w:t xml:space="preserve">Account lock after failed attempts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1ef4ade11046a3af5858f4fbdb189b9f777ada8"/>
    <w:p>
      <w:pPr>
        <w:pStyle w:val="Heading2"/>
      </w:pPr>
      <w:r>
        <w:t xml:space="preserve">13. Architectural Stability Guarantee</w:t>
      </w:r>
    </w:p>
    <w:p>
      <w:pPr>
        <w:pStyle w:val="FirstParagraph"/>
      </w:pPr>
      <w:r>
        <w:t xml:space="preserve">The current core system already supports:</w:t>
      </w:r>
    </w:p>
    <w:p>
      <w:pPr>
        <w:pStyle w:val="Compact"/>
        <w:numPr>
          <w:ilvl w:val="0"/>
          <w:numId w:val="1019"/>
        </w:numPr>
      </w:pPr>
      <w:r>
        <w:t xml:space="preserve">Field extension</w:t>
      </w:r>
    </w:p>
    <w:p>
      <w:pPr>
        <w:pStyle w:val="Compact"/>
        <w:numPr>
          <w:ilvl w:val="0"/>
          <w:numId w:val="1019"/>
        </w:numPr>
      </w:pPr>
      <w:r>
        <w:t xml:space="preserve">New collections</w:t>
      </w:r>
    </w:p>
    <w:p>
      <w:pPr>
        <w:pStyle w:val="Compact"/>
        <w:numPr>
          <w:ilvl w:val="0"/>
          <w:numId w:val="1019"/>
        </w:numPr>
      </w:pPr>
      <w:r>
        <w:t xml:space="preserve">Modular services</w:t>
      </w:r>
    </w:p>
    <w:p>
      <w:pPr>
        <w:pStyle w:val="Compact"/>
        <w:numPr>
          <w:ilvl w:val="0"/>
          <w:numId w:val="1019"/>
        </w:numPr>
      </w:pPr>
      <w:r>
        <w:t xml:space="preserve">Additional middleware layers</w:t>
      </w:r>
    </w:p>
    <w:p>
      <w:pPr>
        <w:pStyle w:val="FirstParagraph"/>
      </w:pPr>
      <w:r>
        <w:t xml:space="preserve">No redesign is required for expansion if core blueprint is followed strictly.</w:t>
      </w:r>
    </w:p>
    <w:p>
      <w:r>
        <w:pict>
          <v:rect style="width:0;height:1.5pt" o:hralign="center" o:hrstd="t" o:hr="t"/>
        </w:pict>
      </w:r>
    </w:p>
    <w:bookmarkEnd w:id="67"/>
    <w:bookmarkStart w:id="68" w:name="Xb713fd2b9a1d63d3e81baba0bf167c5f9a7db2c"/>
    <w:p>
      <w:pPr>
        <w:pStyle w:val="Heading2"/>
      </w:pPr>
      <w:r>
        <w:t xml:space="preserve">14. Expansion Phases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Phase 3</w:t>
      </w:r>
    </w:p>
    <w:p>
      <w:pPr>
        <w:pStyle w:val="Compact"/>
        <w:numPr>
          <w:ilvl w:val="1"/>
          <w:numId w:val="1021"/>
        </w:numPr>
      </w:pPr>
      <w:r>
        <w:t xml:space="preserve">Search optimization</w:t>
      </w:r>
    </w:p>
    <w:p>
      <w:pPr>
        <w:pStyle w:val="Compact"/>
        <w:numPr>
          <w:ilvl w:val="1"/>
          <w:numId w:val="1021"/>
        </w:numPr>
      </w:pPr>
      <w:r>
        <w:t xml:space="preserve">Media module</w:t>
      </w:r>
    </w:p>
    <w:p>
      <w:pPr>
        <w:pStyle w:val="Compact"/>
        <w:numPr>
          <w:ilvl w:val="1"/>
          <w:numId w:val="1021"/>
        </w:numPr>
      </w:pPr>
      <w:r>
        <w:t xml:space="preserve">Analytics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Phase 4</w:t>
      </w:r>
    </w:p>
    <w:p>
      <w:pPr>
        <w:pStyle w:val="Compact"/>
        <w:numPr>
          <w:ilvl w:val="1"/>
          <w:numId w:val="1022"/>
        </w:numPr>
      </w:pPr>
      <w:r>
        <w:t xml:space="preserve">Collaboration tools</w:t>
      </w:r>
    </w:p>
    <w:p>
      <w:pPr>
        <w:pStyle w:val="Compact"/>
        <w:numPr>
          <w:ilvl w:val="1"/>
          <w:numId w:val="1022"/>
        </w:numPr>
      </w:pPr>
      <w:r>
        <w:t xml:space="preserve">Notification system</w:t>
      </w:r>
    </w:p>
    <w:p>
      <w:pPr>
        <w:pStyle w:val="Compact"/>
        <w:numPr>
          <w:ilvl w:val="1"/>
          <w:numId w:val="1022"/>
        </w:numPr>
      </w:pPr>
      <w:r>
        <w:t xml:space="preserve">Audit logs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Phase 5</w:t>
      </w:r>
    </w:p>
    <w:p>
      <w:pPr>
        <w:pStyle w:val="Compact"/>
        <w:numPr>
          <w:ilvl w:val="1"/>
          <w:numId w:val="1023"/>
        </w:numPr>
      </w:pPr>
      <w:r>
        <w:t xml:space="preserve">Multi-university support</w:t>
      </w:r>
    </w:p>
    <w:p>
      <w:pPr>
        <w:pStyle w:val="Compact"/>
        <w:numPr>
          <w:ilvl w:val="1"/>
          <w:numId w:val="1023"/>
        </w:numPr>
      </w:pPr>
      <w:r>
        <w:t xml:space="preserve">SaaS architecture</w:t>
      </w:r>
    </w:p>
    <w:p>
      <w:r>
        <w:pict>
          <v:rect style="width:0;height:1.5pt" o:hralign="center" o:hrstd="t" o:hr="t"/>
        </w:pict>
      </w:r>
    </w:p>
    <w:bookmarkEnd w:id="68"/>
    <w:bookmarkStart w:id="69" w:name="X18f386627b2e0ba88073d5bdfb1be8555842751"/>
    <w:p>
      <w:pPr>
        <w:pStyle w:val="Heading2"/>
      </w:pPr>
      <w:r>
        <w:t xml:space="preserve">15. Long-Term Vision Alignment</w:t>
      </w:r>
    </w:p>
    <w:p>
      <w:pPr>
        <w:pStyle w:val="FirstParagraph"/>
      </w:pPr>
      <w:r>
        <w:t xml:space="preserve">After full expansion, Unievents becomes:</w:t>
      </w:r>
    </w:p>
    <w:p>
      <w:pPr>
        <w:pStyle w:val="BodyText"/>
      </w:pPr>
      <w:r>
        <w:t xml:space="preserve">A lifecycle-driven institutional event intelligence platform with archival preservation, analytics insight, and scalable architecture.</w:t>
      </w:r>
    </w:p>
    <w:p>
      <w:r>
        <w:pict>
          <v:rect style="width:0;height:1.5pt" o:hralign="center" o:hrstd="t" o:hr="t"/>
        </w:pict>
      </w:r>
    </w:p>
    <w:bookmarkEnd w:id="69"/>
    <w:bookmarkEnd w:id="70"/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2026-02-21T15:30:33Z</dcterms:created>
  <dcterms:modified xsi:type="dcterms:W3CDTF">2026-02-21T15:30:33Z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