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left"/>
      </w:pPr>
      <w:r>
        <w:t xml:space="preserve">Data Visualisation Services Homepage</w:t>
      </w:r>
    </w:p>
    <w:p>
      <w:pPr>
        <w:spacing w:after="240"/>
        <w:jc w:val="both"/>
      </w:pPr>
      <w:r>
        <w:rPr>
          <w:i/>
          <w:iCs/>
          <w:color w:val="5B6773"/>
          <w:sz w:val="18"/>
          <w:szCs w:val="18"/>
        </w:rPr>
        <w:t xml:space="preserve">Final page copy from draft-v2.md (Test PASS, test-report-v2.md), in the Insurance sub-page format, which is now the standard Word format. Replaces the earlier standard-format version built from the same draft. Superscript numbers are footnotes, numbered by order of appearance and listed under Sources in section 13.</w:t>
      </w:r>
    </w:p>
    <w:p>
      <w:pPr>
        <w:pStyle w:val="Heading1"/>
        <w:keepNext/>
      </w:pPr>
      <w:r>
        <w:t xml:space="preserve">Page metadata &amp; SEO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75"/>
        <w:gridCol w:w="7461"/>
      </w:tblGrid>
      <w:tr>
        <w:trPr>
          <w:tblHeader/>
        </w:trPr>
        <w:tc>
          <w:tcPr>
            <w:tcW w:type="dxa" w:w="2475"/>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Element</w:t>
            </w:r>
          </w:p>
        </w:tc>
        <w:tc>
          <w:tcPr>
            <w:tcW w:type="dxa" w:w="7461"/>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Content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Page title</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Data Visualization Services in UAE &amp; Dashboards | HLB HAMT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Meta description</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Data visualization services in UAE from HLB HAMT: KPI design, data preparation, interactive dashboards and enterprise reports your finance team can trust.</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Primary keyword</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data visualisation services in UAE (meta title and meta description use the American spelling "data visualization services in UAE"; all on-page copy uses "visualisation", brief Section 2a)</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Secondary keywords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data visualisation services; data visualisation consulting services; data visualisation experts in UAE; data visualisation technologies; data analytics and visualisation software (supplied with the American spelling "visualization"; placed on-page with the British spelling, brief Section 2a)</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Breadcrumb</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Home › Services › Technology Consulting Services › Digital Transformation &amp; Analytics › Data Visualisation</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Sticky nav links</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Why HLB HAMT · What We Build · Industries · Services · Our Method · Engagement Models · FAQ</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Final URL</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https://hlbhamt.com/services/data-visualization-uae/ (publishes in place; canonical set to this URL, brief Section 10, point 1). "data-visualization-services-homepage" is a working file name only.</w:t>
            </w:r>
          </w:p>
        </w:tc>
      </w:tr>
      <w:tr>
        <w:trPr>
          <w:cantSplit/>
        </w:trPr>
        <w:tc>
          <w:tcPr>
            <w:tcW w:type="dxa" w:w="2475"/>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Schema</w:t>
            </w:r>
          </w:p>
        </w:tc>
        <w:tc>
          <w:tcPr>
            <w:tcW w:type="dxa" w:w="7461"/>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Service, FAQPage (9 Q&amp;As, identical to the on-page answers) and BreadcrumbList JSON-LD, delivered in the .html file.</w:t>
            </w:r>
          </w:p>
        </w:tc>
      </w:tr>
    </w:tbl>
    <w:p>
      <w:pPr>
        <w:spacing w:after="120"/>
      </w:pPr>
    </w:p>
    <w:p>
      <w:pPr>
        <w:pStyle w:val="Heading1"/>
        <w:keepNext/>
      </w:pPr>
      <w:r>
        <w:t xml:space="preserve">1. Hero</w:t>
      </w:r>
    </w:p>
    <w:p>
      <w:pPr>
        <w:pStyle w:val="ListParagraph"/>
        <w:numPr>
          <w:ilvl w:val="0"/>
          <w:numId w:val="2"/>
        </w:numPr>
        <w:spacing w:after="80"/>
        <w:jc w:val="both"/>
      </w:pPr>
      <w:r>
        <w:rPr>
          <w:b/>
          <w:bCs/>
          <w:color w:val="0A1F33"/>
          <w:sz w:val="20"/>
          <w:szCs w:val="20"/>
        </w:rPr>
        <w:t xml:space="preserve">Eyebrow: </w:t>
      </w:r>
      <w:r>
        <w:rPr>
          <w:color w:val="0A1F33"/>
          <w:sz w:val="20"/>
          <w:szCs w:val="20"/>
        </w:rPr>
        <w:t xml:space="preserve">HLB HAMT DATA VISUALISATION</w:t>
      </w:r>
    </w:p>
    <w:p>
      <w:pPr>
        <w:pStyle w:val="ListParagraph"/>
        <w:numPr>
          <w:ilvl w:val="0"/>
          <w:numId w:val="2"/>
        </w:numPr>
        <w:spacing w:after="80"/>
        <w:jc w:val="both"/>
      </w:pPr>
      <w:r>
        <w:rPr>
          <w:b/>
          <w:bCs/>
          <w:color w:val="0A1F33"/>
          <w:sz w:val="20"/>
          <w:szCs w:val="20"/>
        </w:rPr>
        <w:t xml:space="preserve">H1: </w:t>
      </w:r>
      <w:r>
        <w:rPr>
          <w:color w:val="0A1F33"/>
          <w:sz w:val="20"/>
          <w:szCs w:val="20"/>
        </w:rPr>
        <w:t xml:space="preserve">HLB HAMT: Data Visualisation Services in UAE for Clearer, Faster Decisions</w:t>
      </w:r>
    </w:p>
    <w:p>
      <w:pPr>
        <w:pStyle w:val="ListParagraph"/>
        <w:numPr>
          <w:ilvl w:val="0"/>
          <w:numId w:val="2"/>
        </w:numPr>
        <w:spacing w:after="80"/>
        <w:jc w:val="both"/>
      </w:pPr>
      <w:r>
        <w:rPr>
          <w:b/>
          <w:bCs/>
          <w:color w:val="0A1F33"/>
          <w:sz w:val="20"/>
          <w:szCs w:val="20"/>
        </w:rPr>
        <w:t xml:space="preserve">Intro paragraph: </w:t>
      </w:r>
      <w:r>
        <w:rPr>
          <w:color w:val="0A1F33"/>
          <w:sz w:val="20"/>
          <w:szCs w:val="20"/>
        </w:rPr>
        <w:t xml:space="preserve">We deliver data visualisation services in UAE that put the right figures in front of every decision maker, from finance to operations. HLB HAMT designs and builds each dashboard and report on integrated, governed data, as a firm that audits and advises on the numbers as well as engineering them.</w:t>
      </w:r>
    </w:p>
    <w:p>
      <w:pPr>
        <w:pStyle w:val="ListParagraph"/>
        <w:numPr>
          <w:ilvl w:val="0"/>
          <w:numId w:val="2"/>
        </w:numPr>
        <w:spacing w:after="80"/>
        <w:jc w:val="both"/>
      </w:pPr>
      <w:r>
        <w:rPr>
          <w:b/>
          <w:bCs/>
          <w:color w:val="0A1F33"/>
          <w:sz w:val="20"/>
          <w:szCs w:val="20"/>
        </w:rPr>
        <w:t xml:space="preserve">Buttons: </w:t>
      </w:r>
      <w:r>
        <w:rPr>
          <w:color w:val="0A1F33"/>
          <w:sz w:val="20"/>
          <w:szCs w:val="20"/>
        </w:rPr>
        <w:t xml:space="preserve">Book a free consultation (primary, links to #contact) · Explore our services (secondary, links to #services)</w:t>
      </w:r>
    </w:p>
    <w:p>
      <w:pPr>
        <w:pStyle w:val="Heading2"/>
        <w:keepNext/>
      </w:pPr>
      <w:r>
        <w:t xml:space="preserve">Outcome sub-block</w:t>
      </w:r>
    </w:p>
    <w:p>
      <w:pPr>
        <w:pStyle w:val="ListParagraph"/>
        <w:numPr>
          <w:ilvl w:val="0"/>
          <w:numId w:val="2"/>
        </w:numPr>
        <w:spacing w:after="80"/>
        <w:jc w:val="both"/>
      </w:pPr>
      <w:r>
        <w:rPr>
          <w:b/>
          <w:bCs/>
          <w:color w:val="0A1F33"/>
          <w:sz w:val="20"/>
          <w:szCs w:val="20"/>
        </w:rPr>
        <w:t xml:space="preserve">Heading: </w:t>
      </w:r>
      <w:r>
        <w:rPr>
          <w:color w:val="0A1F33"/>
          <w:sz w:val="20"/>
          <w:szCs w:val="20"/>
        </w:rPr>
        <w:t xml:space="preserve">Four things our dashboards do for your business</w:t>
      </w:r>
    </w:p>
    <w:p>
      <w:pPr>
        <w:pStyle w:val="ListParagraph"/>
        <w:keepNext/>
        <w:numPr>
          <w:ilvl w:val="0"/>
          <w:numId w:val="2"/>
        </w:numPr>
        <w:spacing w:after="80"/>
        <w:jc w:val="both"/>
      </w:pPr>
      <w:r>
        <w:rPr>
          <w:b/>
          <w:bCs/>
          <w:color w:val="0A1F33"/>
          <w:sz w:val="20"/>
          <w:szCs w:val="20"/>
        </w:rPr>
        <w:t xml:space="preserve">Sub-line: </w:t>
      </w:r>
      <w:r>
        <w:rPr>
          <w:color w:val="0A1F33"/>
          <w:sz w:val="20"/>
          <w:szCs w:val="20"/>
        </w:rPr>
        <w:t xml:space="preserve">Each one rests on figures checked before publication.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00"/>
        <w:gridCol w:w="7136"/>
      </w:tblGrid>
      <w:tr>
        <w:trPr>
          <w:tblHeader/>
        </w:trPr>
        <w:tc>
          <w:tcPr>
            <w:tcW w:type="dxa" w:w="28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Card</w:t>
            </w:r>
          </w:p>
        </w:tc>
        <w:tc>
          <w:tcPr>
            <w:tcW w:type="dxa" w:w="71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Copy</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See performance sooner</w:t>
            </w:r>
          </w:p>
        </w:tc>
        <w:tc>
          <w:tcPr>
            <w:tcW w:type="dxa" w:w="71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We condense large, complex datasets into the handful of KPIs that matter, shrinking the gap between a question and its answer.</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Find what drives the numbers</w:t>
            </w:r>
          </w:p>
        </w:tc>
        <w:tc>
          <w:tcPr>
            <w:tcW w:type="dxa" w:w="71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Relationships across sales, cost and operational data show why results moved and which factors will shape the next period.</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Catch shifts early</w:t>
            </w:r>
          </w:p>
        </w:tc>
        <w:tc>
          <w:tcPr>
            <w:tcW w:type="dxa" w:w="71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Trends and exceptions are flagged while there is still time to act on an opportunity or a rising cost.</w:t>
            </w:r>
          </w:p>
        </w:tc>
      </w:tr>
      <w:tr>
        <w:trPr>
          <w:cantSplit/>
        </w:trPr>
        <w:tc>
          <w:tcPr>
            <w:tcW w:type="dxa" w:w="28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Share one version of the truth</w:t>
            </w:r>
          </w:p>
        </w:tc>
        <w:tc>
          <w:tcPr>
            <w:tcW w:type="dxa" w:w="71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Board members, managers and front-line staff read the same governed figures, so meetings open on decisions rather than disputed numbers.</w:t>
            </w:r>
          </w:p>
        </w:tc>
      </w:tr>
    </w:tbl>
    <w:p>
      <w:pPr>
        <w:pStyle w:val="ListParagraph"/>
        <w:numPr>
          <w:ilvl w:val="0"/>
          <w:numId w:val="2"/>
        </w:numPr>
        <w:spacing w:after="80"/>
        <w:jc w:val="both"/>
      </w:pPr>
      <w:r>
        <w:rPr>
          <w:b/>
          <w:bCs/>
          <w:color w:val="0A1F33"/>
          <w:sz w:val="20"/>
          <w:szCs w:val="20"/>
        </w:rPr>
        <w:t xml:space="preserve">Scope line: </w:t>
      </w:r>
      <w:r>
        <w:rPr>
          <w:color w:val="0A1F33"/>
          <w:sz w:val="20"/>
          <w:szCs w:val="20"/>
        </w:rPr>
        <w:t xml:space="preserve">We size every build to your data, from one department's dashboard running on the sources you already use to enterprise reporting across every entity.</w:t>
      </w:r>
    </w:p>
    <w:p>
      <w:pPr>
        <w:spacing w:after="120"/>
      </w:pPr>
    </w:p>
    <w:p>
      <w:pPr>
        <w:pStyle w:val="Heading1"/>
        <w:keepNext/>
      </w:pPr>
      <w:r>
        <w:t xml:space="preserve">2. Stats Strip and Recognition Line</w:t>
      </w:r>
    </w:p>
    <w:p>
      <w:pPr>
        <w:keepNext/>
        <w:spacing w:after="80" w:before="60"/>
        <w:jc w:val="both"/>
      </w:pPr>
      <w:r>
        <w:rPr>
          <w:color w:val="0A1F33"/>
          <w:sz w:val="20"/>
          <w:szCs w:val="20"/>
        </w:rPr>
        <w:t xml:space="preserve">Dark stats strip, four items, no heading on the page: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600"/>
        <w:gridCol w:w="7336"/>
      </w:tblGrid>
      <w:tr>
        <w:trPr>
          <w:tblHeader/>
        </w:trPr>
        <w:tc>
          <w:tcPr>
            <w:tcW w:type="dxa" w:w="26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Figure</w:t>
            </w:r>
          </w:p>
        </w:tc>
        <w:tc>
          <w:tcPr>
            <w:tcW w:type="dxa" w:w="73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Description</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9 sectors</w:t>
            </w:r>
          </w:p>
        </w:tc>
        <w:tc>
          <w:tcPr>
            <w:tcW w:type="dxa" w:w="73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with dashboard blueprints ready to adapt to your data.</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Source to screen</w:t>
            </w:r>
          </w:p>
        </w:tc>
        <w:tc>
          <w:tcPr>
            <w:tcW w:type="dxa" w:w="73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Preparation, modelling, design and publishing by one HLB HAMT team.</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Ledger-checked</w:t>
            </w:r>
          </w:p>
        </w:tc>
        <w:tc>
          <w:tcPr>
            <w:tcW w:type="dxa" w:w="73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Figures reconciled by a licensed audit and advisory firm.</w:t>
            </w:r>
          </w:p>
        </w:tc>
      </w:tr>
      <w:tr>
        <w:trPr>
          <w:cantSplit/>
        </w:trPr>
        <w:tc>
          <w:tcPr>
            <w:tcW w:type="dxa" w:w="26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Role-based</w:t>
            </w:r>
          </w:p>
        </w:tc>
        <w:tc>
          <w:tcPr>
            <w:tcW w:type="dxa" w:w="73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Each audience sees its own secured view, branch to board.</w:t>
            </w:r>
          </w:p>
        </w:tc>
      </w:tr>
    </w:tbl>
    <w:p>
      <w:pPr>
        <w:pStyle w:val="Heading2"/>
        <w:keepNext/>
      </w:pPr>
      <w:r>
        <w:t xml:space="preserve">Recognition line</w:t>
      </w:r>
    </w:p>
    <w:p>
      <w:pPr>
        <w:pStyle w:val="ListParagraph"/>
        <w:numPr>
          <w:ilvl w:val="0"/>
          <w:numId w:val="2"/>
        </w:numPr>
        <w:spacing w:after="80"/>
        <w:jc w:val="both"/>
      </w:pPr>
      <w:r>
        <w:rPr>
          <w:b/>
          <w:bCs/>
          <w:color w:val="0A1F33"/>
          <w:sz w:val="20"/>
          <w:szCs w:val="20"/>
        </w:rPr>
        <w:t xml:space="preserve">Copy: </w:t>
      </w:r>
      <w:r>
        <w:rPr>
          <w:color w:val="0A1F33"/>
          <w:sz w:val="20"/>
          <w:szCs w:val="20"/>
        </w:rPr>
        <w:t xml:space="preserve">We build from the UAE, which ranked 9th of 69 economies in IMD's World Digital Competitiveness Ranking 2025 and 1st for talent.</w:t>
      </w:r>
      <w:r>
        <w:rPr>
          <w:color w:val="0A1F33"/>
          <w:sz w:val="20"/>
          <w:szCs w:val="20"/>
          <w:vertAlign w:val="superscript"/>
        </w:rPr>
        <w:t xml:space="preserve">1</w:t>
      </w:r>
    </w:p>
    <w:p>
      <w:pPr>
        <w:pStyle w:val="ListParagraph"/>
        <w:numPr>
          <w:ilvl w:val="0"/>
          <w:numId w:val="2"/>
        </w:numPr>
        <w:spacing w:after="80"/>
        <w:jc w:val="both"/>
      </w:pPr>
      <w:r>
        <w:rPr>
          <w:b/>
          <w:bCs/>
          <w:color w:val="0A1F33"/>
          <w:sz w:val="20"/>
          <w:szCs w:val="20"/>
        </w:rPr>
        <w:t xml:space="preserve">Button: </w:t>
      </w:r>
      <w:hyperlink w:history="1" r:id="rIdbcnpfixwfowrwe8rm4nig">
        <w:r>
          <w:rPr>
            <w:rStyle w:val="Hyperlink"/>
            <w:color w:val="10538F"/>
            <w:sz w:val="20"/>
            <w:szCs w:val="20"/>
          </w:rPr>
          <w:t xml:space="preserve">Read the ranking</w:t>
        </w:r>
      </w:hyperlink>
      <w:r>
        <w:rPr>
          <w:color w:val="0A1F33"/>
          <w:sz w:val="20"/>
          <w:szCs w:val="20"/>
        </w:rPr>
        <w:t xml:space="preserve"> (external link, same target as Source 1)</w:t>
      </w:r>
    </w:p>
    <w:p>
      <w:pPr>
        <w:spacing w:after="120"/>
      </w:pPr>
    </w:p>
    <w:p>
      <w:pPr>
        <w:pStyle w:val="Heading1"/>
        <w:keepNext/>
      </w:pPr>
      <w:r>
        <w:t xml:space="preserve">3. Why HLB HAMT</w:t>
      </w:r>
    </w:p>
    <w:p>
      <w:pPr>
        <w:pStyle w:val="ListParagraph"/>
        <w:numPr>
          <w:ilvl w:val="0"/>
          <w:numId w:val="2"/>
        </w:numPr>
        <w:spacing w:after="80"/>
        <w:jc w:val="both"/>
      </w:pPr>
      <w:r>
        <w:rPr>
          <w:b/>
          <w:bCs/>
          <w:color w:val="0A1F33"/>
          <w:sz w:val="20"/>
          <w:szCs w:val="20"/>
        </w:rPr>
        <w:t xml:space="preserve">Eyebrow: </w:t>
      </w:r>
      <w:r>
        <w:rPr>
          <w:color w:val="0A1F33"/>
          <w:sz w:val="20"/>
          <w:szCs w:val="20"/>
        </w:rPr>
        <w:t xml:space="preserve">WHY HLB HAMT</w:t>
      </w:r>
    </w:p>
    <w:p>
      <w:pPr>
        <w:pStyle w:val="ListParagraph"/>
        <w:numPr>
          <w:ilvl w:val="0"/>
          <w:numId w:val="2"/>
        </w:numPr>
        <w:spacing w:after="80"/>
        <w:jc w:val="both"/>
      </w:pPr>
      <w:r>
        <w:rPr>
          <w:b/>
          <w:bCs/>
          <w:color w:val="0A1F33"/>
          <w:sz w:val="20"/>
          <w:szCs w:val="20"/>
        </w:rPr>
        <w:t xml:space="preserve">H2: </w:t>
      </w:r>
      <w:r>
        <w:rPr>
          <w:color w:val="0A1F33"/>
          <w:sz w:val="20"/>
          <w:szCs w:val="20"/>
        </w:rPr>
        <w:t xml:space="preserve">An Audit Firm's Rigour Behind Every Chart</w:t>
      </w:r>
    </w:p>
    <w:p>
      <w:pPr>
        <w:pStyle w:val="ListParagraph"/>
        <w:numPr>
          <w:ilvl w:val="0"/>
          <w:numId w:val="2"/>
        </w:numPr>
        <w:spacing w:after="80"/>
        <w:jc w:val="both"/>
      </w:pPr>
      <w:r>
        <w:rPr>
          <w:b/>
          <w:bCs/>
          <w:color w:val="0A1F33"/>
          <w:sz w:val="20"/>
          <w:szCs w:val="20"/>
        </w:rPr>
        <w:t xml:space="preserve">Intro: </w:t>
      </w:r>
      <w:r>
        <w:rPr>
          <w:color w:val="0A1F33"/>
          <w:sz w:val="20"/>
          <w:szCs w:val="20"/>
        </w:rPr>
        <w:t xml:space="preserve">HLB HAMT stands behind those four outcomes as a licensed audit, tax and advisory firm, and a member of the HLB International network, that also designs and builds reporting. Our accountants understand how each figure is produced, and our engineers and designers decide how it should appear and who should see it. This practice forms part of our wider </w:t>
      </w:r>
      <w:hyperlink w:history="1" r:id="rIdfiafxtke_bpxir8ppewel">
        <w:r>
          <w:rPr>
            <w:rStyle w:val="Hyperlink"/>
            <w:color w:val="10538F"/>
            <w:sz w:val="20"/>
            <w:szCs w:val="20"/>
          </w:rPr>
          <w:t xml:space="preserve">digital transformation and analytics services</w:t>
        </w:r>
      </w:hyperlink>
      <w:r>
        <w:rPr>
          <w:color w:val="0A1F33"/>
          <w:sz w:val="20"/>
          <w:szCs w:val="20"/>
        </w:rPr>
        <w:t xml:space="preserve">.</w:t>
      </w:r>
    </w:p>
    <w:p>
      <w:pPr>
        <w:keepNext/>
        <w:spacing w:after="80" w:before="60"/>
        <w:jc w:val="both"/>
      </w:pPr>
      <w:r>
        <w:rPr>
          <w:color w:val="0A1F33"/>
          <w:sz w:val="20"/>
          <w:szCs w:val="20"/>
        </w:rPr>
        <w:t xml:space="preserve">Four cards (heading / copy):</w:t>
      </w:r>
    </w:p>
    <w:p>
      <w:pPr>
        <w:pStyle w:val="ListParagraph"/>
        <w:numPr>
          <w:ilvl w:val="0"/>
          <w:numId w:val="3"/>
        </w:numPr>
        <w:spacing w:after="120"/>
        <w:jc w:val="both"/>
      </w:pPr>
      <w:r>
        <w:rPr>
          <w:b/>
          <w:bCs/>
          <w:color w:val="0A1F33"/>
          <w:sz w:val="20"/>
          <w:szCs w:val="20"/>
        </w:rPr>
        <w:t xml:space="preserve">What we do</w:t>
      </w:r>
      <w:r>
        <w:rPr>
          <w:color w:val="0A1F33"/>
          <w:sz w:val="20"/>
          <w:szCs w:val="20"/>
        </w:rPr>
        <w:t xml:space="preserve">  -  </w:t>
      </w:r>
      <w:r>
        <w:rPr>
          <w:color w:val="0A1F33"/>
          <w:sz w:val="20"/>
          <w:szCs w:val="20"/>
        </w:rPr>
        <w:t xml:space="preserve">A single HLB HAMT team covers the whole path from source data to published dashboard: KPI definitions, data preparation and modelling, design, build, tuning, rollout and support. Accountability for every figure therefore stays with one firm, not a chain of subcontractors.</w:t>
      </w:r>
    </w:p>
    <w:p>
      <w:pPr>
        <w:pStyle w:val="ListParagraph"/>
        <w:numPr>
          <w:ilvl w:val="0"/>
          <w:numId w:val="3"/>
        </w:numPr>
        <w:spacing w:after="120"/>
        <w:jc w:val="both"/>
      </w:pPr>
      <w:r>
        <w:rPr>
          <w:b/>
          <w:bCs/>
          <w:color w:val="0A1F33"/>
          <w:sz w:val="20"/>
          <w:szCs w:val="20"/>
        </w:rPr>
        <w:t xml:space="preserve">Who we work with</w:t>
      </w:r>
      <w:r>
        <w:rPr>
          <w:color w:val="0A1F33"/>
          <w:sz w:val="20"/>
          <w:szCs w:val="20"/>
        </w:rPr>
        <w:t xml:space="preserve">  -  </w:t>
      </w:r>
      <w:r>
        <w:rPr>
          <w:color w:val="0A1F33"/>
          <w:sz w:val="20"/>
          <w:szCs w:val="20"/>
        </w:rPr>
        <w:t xml:space="preserve">Our clients are the people who answer for the numbers: finance directors, operations and commercial heads, HR leaders and the data teams who support them. Engagements range from one department's monthly pack to groups consolidating many entities across the GCC.</w:t>
      </w:r>
    </w:p>
    <w:p>
      <w:pPr>
        <w:pStyle w:val="ListParagraph"/>
        <w:numPr>
          <w:ilvl w:val="0"/>
          <w:numId w:val="3"/>
        </w:numPr>
        <w:spacing w:after="120"/>
        <w:jc w:val="both"/>
      </w:pPr>
      <w:r>
        <w:rPr>
          <w:b/>
          <w:bCs/>
          <w:color w:val="0A1F33"/>
          <w:sz w:val="20"/>
          <w:szCs w:val="20"/>
        </w:rPr>
        <w:t xml:space="preserve">How we deliver</w:t>
      </w:r>
      <w:r>
        <w:rPr>
          <w:color w:val="0A1F33"/>
          <w:sz w:val="20"/>
          <w:szCs w:val="20"/>
        </w:rPr>
        <w:t xml:space="preserve">  -  </w:t>
      </w:r>
      <w:r>
        <w:rPr>
          <w:color w:val="0A1F33"/>
          <w:sz w:val="20"/>
          <w:szCs w:val="20"/>
        </w:rPr>
        <w:t xml:space="preserve">Structure comes before styling. KPI definitions are agreed and the data is modelled before anyone sketches a chart, so the visuals rest on figures that already reconcile. From there, the work runs through our </w:t>
      </w:r>
      <w:r>
        <w:rPr>
          <w:color w:val="0A1F33"/>
          <w:sz w:val="20"/>
          <w:szCs w:val="20"/>
          <w:u w:val="single" w:color="0A1F33"/>
        </w:rPr>
        <w:t xml:space="preserve">five-stage method</w:t>
      </w:r>
      <w:r>
        <w:rPr>
          <w:color w:val="0A1F33"/>
          <w:sz w:val="20"/>
          <w:szCs w:val="20"/>
        </w:rPr>
        <w:t xml:space="preserve">, which one core team carries from the opening KPI session to launch and beyond.</w:t>
      </w:r>
    </w:p>
    <w:p>
      <w:pPr>
        <w:pStyle w:val="ListParagraph"/>
        <w:numPr>
          <w:ilvl w:val="0"/>
          <w:numId w:val="3"/>
        </w:numPr>
        <w:spacing w:after="120"/>
        <w:jc w:val="both"/>
      </w:pPr>
      <w:r>
        <w:rPr>
          <w:b/>
          <w:bCs/>
          <w:color w:val="0A1F33"/>
          <w:sz w:val="20"/>
          <w:szCs w:val="20"/>
        </w:rPr>
        <w:t xml:space="preserve">Support after launch</w:t>
      </w:r>
      <w:r>
        <w:rPr>
          <w:color w:val="0A1F33"/>
          <w:sz w:val="20"/>
          <w:szCs w:val="20"/>
        </w:rPr>
        <w:t xml:space="preserve">  -  </w:t>
      </w:r>
      <w:r>
        <w:rPr>
          <w:color w:val="0A1F33"/>
          <w:sz w:val="20"/>
          <w:szCs w:val="20"/>
        </w:rPr>
        <w:t xml:space="preserve">After launch, our team monitors scheduled refreshes, fixes issues, tunes performance as data volumes grow and adds views as priorities change. We also train your people, so the reporting stays in daily use rather than drifting back to spreadsheets.</w:t>
      </w:r>
    </w:p>
    <w:p>
      <w:pPr>
        <w:spacing w:after="120"/>
      </w:pPr>
    </w:p>
    <w:p>
      <w:pPr>
        <w:pStyle w:val="Heading1"/>
        <w:keepNext/>
      </w:pPr>
      <w:r>
        <w:t xml:space="preserve">4. What We Build</w:t>
      </w:r>
    </w:p>
    <w:p>
      <w:pPr>
        <w:pStyle w:val="ListParagraph"/>
        <w:numPr>
          <w:ilvl w:val="0"/>
          <w:numId w:val="2"/>
        </w:numPr>
        <w:spacing w:after="80"/>
        <w:jc w:val="both"/>
      </w:pPr>
      <w:r>
        <w:rPr>
          <w:b/>
          <w:bCs/>
          <w:color w:val="0A1F33"/>
          <w:sz w:val="20"/>
          <w:szCs w:val="20"/>
        </w:rPr>
        <w:t xml:space="preserve">Eyebrow: </w:t>
      </w:r>
      <w:r>
        <w:rPr>
          <w:color w:val="0A1F33"/>
          <w:sz w:val="20"/>
          <w:szCs w:val="20"/>
        </w:rPr>
        <w:t xml:space="preserve">WHAT WE BUILD</w:t>
      </w:r>
    </w:p>
    <w:p>
      <w:pPr>
        <w:pStyle w:val="ListParagraph"/>
        <w:numPr>
          <w:ilvl w:val="0"/>
          <w:numId w:val="2"/>
        </w:numPr>
        <w:spacing w:after="80"/>
        <w:jc w:val="both"/>
      </w:pPr>
      <w:r>
        <w:rPr>
          <w:b/>
          <w:bCs/>
          <w:color w:val="0A1F33"/>
          <w:sz w:val="20"/>
          <w:szCs w:val="20"/>
        </w:rPr>
        <w:t xml:space="preserve">H2: </w:t>
      </w:r>
      <w:r>
        <w:rPr>
          <w:color w:val="0A1F33"/>
          <w:sz w:val="20"/>
          <w:szCs w:val="20"/>
        </w:rPr>
        <w:t xml:space="preserve">Reporting Designed for Each Level of Decision</w:t>
      </w:r>
    </w:p>
    <w:p>
      <w:pPr>
        <w:pStyle w:val="ListParagraph"/>
        <w:numPr>
          <w:ilvl w:val="0"/>
          <w:numId w:val="2"/>
        </w:numPr>
        <w:spacing w:after="80"/>
        <w:jc w:val="both"/>
      </w:pPr>
      <w:r>
        <w:rPr>
          <w:b/>
          <w:bCs/>
          <w:color w:val="0A1F33"/>
          <w:sz w:val="20"/>
          <w:szCs w:val="20"/>
        </w:rPr>
        <w:t xml:space="preserve">Intro: </w:t>
      </w:r>
      <w:r>
        <w:rPr>
          <w:color w:val="0A1F33"/>
          <w:sz w:val="20"/>
          <w:szCs w:val="20"/>
        </w:rPr>
        <w:t xml:space="preserve">We turn the four outcomes above into three kinds of reporting, each resting on the measures and model agreed at the start. For every audience, we choose and configure the data visualisation technologies that match how it reads, explores and shares figures, on screen or on paper.</w:t>
      </w:r>
    </w:p>
    <w:p>
      <w:pPr>
        <w:keepNext/>
        <w:spacing w:after="80" w:before="60"/>
        <w:jc w:val="both"/>
      </w:pPr>
      <w:r>
        <w:rPr>
          <w:color w:val="0A1F33"/>
          <w:sz w:val="20"/>
          <w:szCs w:val="20"/>
        </w:rPr>
        <w:t xml:space="preserve">Three reporting rows (label / heading / description and key features):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736"/>
      </w:tblGrid>
      <w:tr>
        <w:trPr>
          <w:tblHeader/>
        </w:trPr>
        <w:tc>
          <w:tcPr>
            <w:tcW w:type="dxa" w:w="15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Label</w:t>
            </w:r>
          </w:p>
        </w:tc>
        <w:tc>
          <w:tcPr>
            <w:tcW w:type="dxa" w:w="27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Heading</w:t>
            </w:r>
          </w:p>
        </w:tc>
        <w:tc>
          <w:tcPr>
            <w:tcW w:type="dxa" w:w="57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Description</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View</w:t>
            </w:r>
          </w:p>
        </w:tc>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For the boardroom</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60"/>
              <w:jc w:val="both"/>
            </w:pPr>
            <w:r>
              <w:rPr>
                <w:color w:val="0A1F33"/>
                <w:sz w:val="18"/>
                <w:szCs w:val="18"/>
              </w:rPr>
              <w:t xml:space="preserve">We design one-page scorecards that show each KPI against target, with variance and trend beside it, so an executive can read the position of the business in about a minute. Layouts work as well on a phone between meetings as on the boardroom screen.</w:t>
            </w:r>
          </w:p>
          <w:p>
            <w:pPr>
              <w:spacing w:after="20"/>
              <w:jc w:val="both"/>
            </w:pPr>
            <w:r>
              <w:rPr>
                <w:b/>
                <w:bCs/>
                <w:color w:val="0A1F33"/>
                <w:sz w:val="18"/>
                <w:szCs w:val="18"/>
              </w:rPr>
              <w:t xml:space="preserve">Key features: </w:t>
            </w:r>
            <w:r>
              <w:rPr>
                <w:color w:val="0A1F33"/>
                <w:sz w:val="18"/>
                <w:szCs w:val="18"/>
              </w:rPr>
              <w:t xml:space="preserve">KPI scorecards against target · Variance and trend at a glance · Threshold alerts for owners · Mobile-friendly layouts · Commentary beside the numbers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View</w:t>
            </w:r>
          </w:p>
        </w:tc>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For the analyst's desk</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60"/>
              <w:jc w:val="both"/>
            </w:pPr>
            <w:r>
              <w:rPr>
                <w:color w:val="0A1F33"/>
                <w:sz w:val="18"/>
                <w:szCs w:val="18"/>
              </w:rPr>
              <w:t xml:space="preserve">We build interactive reports for the analysts and managers asked to explain a number. They can filter by period, region or product, drill from a total into the transactions behind it and compare patterns side by side until the cause of the movement is clear.</w:t>
            </w:r>
          </w:p>
          <w:p>
            <w:pPr>
              <w:spacing w:after="20"/>
              <w:jc w:val="both"/>
            </w:pPr>
            <w:r>
              <w:rPr>
                <w:b/>
                <w:bCs/>
                <w:color w:val="0A1F33"/>
                <w:sz w:val="18"/>
                <w:szCs w:val="18"/>
              </w:rPr>
              <w:t xml:space="preserve">Key features: </w:t>
            </w:r>
            <w:r>
              <w:rPr>
                <w:color w:val="0A1F33"/>
                <w:sz w:val="18"/>
                <w:szCs w:val="18"/>
              </w:rPr>
              <w:t xml:space="preserve">Drill-down and drill-through · Cross-filtering and slicers · Trend lines over time · Heatmaps, hierarchies and regional maps · Saved views for repeat questions</w:t>
            </w:r>
          </w:p>
        </w:tc>
      </w:tr>
      <w:tr>
        <w:trPr>
          <w:cantSplit/>
        </w:trPr>
        <w:tc>
          <w:tcPr>
            <w:tcW w:type="dxa" w:w="15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View</w:t>
            </w:r>
          </w:p>
        </w:tc>
        <w:tc>
          <w:tcPr>
            <w:tcW w:type="dxa" w:w="2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For operations and external stakeholders</w:t>
            </w:r>
          </w:p>
        </w:tc>
        <w:tc>
          <w:tcPr>
            <w:tcW w:type="dxa" w:w="57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60"/>
              <w:jc w:val="both"/>
            </w:pPr>
            <w:r>
              <w:rPr>
                <w:color w:val="0A1F33"/>
                <w:sz w:val="18"/>
                <w:szCs w:val="18"/>
              </w:rPr>
              <w:t xml:space="preserve">We produce the scheduled reports that keep daily operations moving, and the formal reporting that leaves the building: management packs, partner updates and submissions to regulators. Each keeps a fixed layout, refreshes on a set timetable and exports cleanly to print or PDF for filing.</w:t>
            </w:r>
          </w:p>
          <w:p>
            <w:pPr>
              <w:spacing w:after="20"/>
              <w:jc w:val="both"/>
            </w:pPr>
            <w:r>
              <w:rPr>
                <w:b/>
                <w:bCs/>
                <w:color w:val="0A1F33"/>
                <w:sz w:val="18"/>
                <w:szCs w:val="18"/>
              </w:rPr>
              <w:t xml:space="preserve">Key features: </w:t>
            </w:r>
            <w:r>
              <w:rPr>
                <w:color w:val="0A1F33"/>
                <w:sz w:val="18"/>
                <w:szCs w:val="18"/>
              </w:rPr>
              <w:t xml:space="preserve">Scheduled and near-real-time refresh · Print-ready paginated reports · Regulator and board packs · Views embedded in your portals · Distribution by subscription</w:t>
            </w:r>
          </w:p>
        </w:tc>
      </w:tr>
    </w:tbl>
    <w:p>
      <w:pPr>
        <w:pStyle w:val="Heading2"/>
        <w:keepNext/>
      </w:pPr>
      <w:r>
        <w:t xml:space="preserve">Foundation layer block</w:t>
      </w:r>
    </w:p>
    <w:p>
      <w:pPr>
        <w:pStyle w:val="ListParagraph"/>
        <w:numPr>
          <w:ilvl w:val="0"/>
          <w:numId w:val="2"/>
        </w:numPr>
        <w:spacing w:after="80"/>
        <w:jc w:val="both"/>
      </w:pPr>
      <w:r>
        <w:rPr>
          <w:b/>
          <w:bCs/>
          <w:color w:val="0A1F33"/>
          <w:sz w:val="20"/>
          <w:szCs w:val="20"/>
        </w:rPr>
        <w:t xml:space="preserve">Label: </w:t>
      </w:r>
      <w:r>
        <w:rPr>
          <w:color w:val="0A1F33"/>
          <w:sz w:val="20"/>
          <w:szCs w:val="20"/>
        </w:rPr>
        <w:t xml:space="preserve">Foundation</w:t>
      </w:r>
    </w:p>
    <w:p>
      <w:pPr>
        <w:pStyle w:val="ListParagraph"/>
        <w:numPr>
          <w:ilvl w:val="0"/>
          <w:numId w:val="2"/>
        </w:numPr>
        <w:spacing w:after="80"/>
        <w:jc w:val="both"/>
      </w:pPr>
      <w:r>
        <w:rPr>
          <w:b/>
          <w:bCs/>
          <w:color w:val="0A1F33"/>
          <w:sz w:val="20"/>
          <w:szCs w:val="20"/>
        </w:rPr>
        <w:t xml:space="preserve">H3: </w:t>
      </w:r>
      <w:r>
        <w:rPr>
          <w:color w:val="0A1F33"/>
          <w:sz w:val="20"/>
          <w:szCs w:val="20"/>
        </w:rPr>
        <w:t xml:space="preserve">The governed data layer underneath</w:t>
      </w:r>
    </w:p>
    <w:p>
      <w:pPr>
        <w:pStyle w:val="ListParagraph"/>
        <w:numPr>
          <w:ilvl w:val="0"/>
          <w:numId w:val="2"/>
        </w:numPr>
        <w:spacing w:after="80"/>
        <w:jc w:val="both"/>
      </w:pPr>
      <w:r>
        <w:rPr>
          <w:b/>
          <w:bCs/>
          <w:color w:val="0A1F33"/>
          <w:sz w:val="20"/>
          <w:szCs w:val="20"/>
        </w:rPr>
        <w:t xml:space="preserve">Body: </w:t>
      </w:r>
      <w:r>
        <w:rPr>
          <w:color w:val="0A1F33"/>
          <w:sz w:val="20"/>
          <w:szCs w:val="20"/>
        </w:rPr>
        <w:t xml:space="preserve">We build this layer first. Data from your ERP, CRM, finance and operational systems is integrated, cleaned and modelled into a semantic layer with one definition per KPI, then validated against source before design begins. Practitioners share that priority: the 1,579 professionals surveyed for BARC's Data, BI and Analytics Trend Monitor 2026 ranked data quality management first, level with data security and privacy.</w:t>
      </w:r>
      <w:r>
        <w:rPr>
          <w:color w:val="0A1F33"/>
          <w:sz w:val="20"/>
          <w:szCs w:val="20"/>
          <w:vertAlign w:val="superscript"/>
        </w:rPr>
        <w:t xml:space="preserve">2</w:t>
      </w:r>
    </w:p>
    <w:p>
      <w:pPr>
        <w:pStyle w:val="ListParagraph"/>
        <w:numPr>
          <w:ilvl w:val="0"/>
          <w:numId w:val="2"/>
        </w:numPr>
        <w:spacing w:after="80"/>
        <w:jc w:val="both"/>
      </w:pPr>
      <w:r>
        <w:rPr>
          <w:b/>
          <w:bCs/>
          <w:color w:val="0A1F33"/>
          <w:sz w:val="20"/>
          <w:szCs w:val="20"/>
        </w:rPr>
        <w:t xml:space="preserve">Key features: </w:t>
      </w:r>
      <w:r>
        <w:rPr>
          <w:color w:val="0A1F33"/>
          <w:sz w:val="20"/>
          <w:szCs w:val="20"/>
        </w:rPr>
        <w:t xml:space="preserve">Source integration and pipelines · Validation and reconciliation checks · Semantic model with shared KPI definitions · Role-based security</w:t>
      </w:r>
    </w:p>
    <w:p>
      <w:pPr>
        <w:spacing w:after="120"/>
      </w:pPr>
    </w:p>
    <w:p>
      <w:pPr>
        <w:pStyle w:val="Heading1"/>
        <w:keepNext/>
      </w:pPr>
      <w:r>
        <w:t xml:space="preserve">5. Industry Use Cases</w:t>
      </w:r>
    </w:p>
    <w:p>
      <w:pPr>
        <w:pStyle w:val="ListParagraph"/>
        <w:numPr>
          <w:ilvl w:val="0"/>
          <w:numId w:val="2"/>
        </w:numPr>
        <w:spacing w:after="80"/>
        <w:jc w:val="both"/>
      </w:pPr>
      <w:r>
        <w:rPr>
          <w:b/>
          <w:bCs/>
          <w:color w:val="0A1F33"/>
          <w:sz w:val="20"/>
          <w:szCs w:val="20"/>
        </w:rPr>
        <w:t xml:space="preserve">Eyebrow: </w:t>
      </w:r>
      <w:r>
        <w:rPr>
          <w:color w:val="0A1F33"/>
          <w:sz w:val="20"/>
          <w:szCs w:val="20"/>
        </w:rPr>
        <w:t xml:space="preserve">INDUSTRIES</w:t>
      </w:r>
    </w:p>
    <w:p>
      <w:pPr>
        <w:pStyle w:val="ListParagraph"/>
        <w:numPr>
          <w:ilvl w:val="0"/>
          <w:numId w:val="2"/>
        </w:numPr>
        <w:spacing w:after="80"/>
        <w:jc w:val="both"/>
      </w:pPr>
      <w:r>
        <w:rPr>
          <w:b/>
          <w:bCs/>
          <w:color w:val="0A1F33"/>
          <w:sz w:val="20"/>
          <w:szCs w:val="20"/>
        </w:rPr>
        <w:t xml:space="preserve">H2: </w:t>
      </w:r>
      <w:r>
        <w:rPr>
          <w:color w:val="0A1F33"/>
          <w:sz w:val="20"/>
          <w:szCs w:val="20"/>
        </w:rPr>
        <w:t xml:space="preserve">Sector Blueprints Built Around the Metrics You Report</w:t>
      </w:r>
    </w:p>
    <w:p>
      <w:pPr>
        <w:pStyle w:val="ListParagraph"/>
        <w:numPr>
          <w:ilvl w:val="0"/>
          <w:numId w:val="2"/>
        </w:numPr>
        <w:spacing w:after="80"/>
        <w:jc w:val="both"/>
      </w:pPr>
      <w:r>
        <w:rPr>
          <w:b/>
          <w:bCs/>
          <w:color w:val="0A1F33"/>
          <w:sz w:val="20"/>
          <w:szCs w:val="20"/>
        </w:rPr>
        <w:t xml:space="preserve">Intro: </w:t>
      </w:r>
      <w:r>
        <w:rPr>
          <w:color w:val="0A1F33"/>
          <w:sz w:val="20"/>
          <w:szCs w:val="20"/>
        </w:rPr>
        <w:t xml:space="preserve">We apply those three kinds of reporting to the metrics each sector actually runs on. The blueprints below are starting points that we adapt to your own data and definitions.</w:t>
      </w:r>
    </w:p>
    <w:p>
      <w:pPr>
        <w:keepNext/>
        <w:spacing w:after="80" w:before="60"/>
        <w:jc w:val="both"/>
      </w:pPr>
      <w:r>
        <w:rPr>
          <w:color w:val="0A1F33"/>
          <w:sz w:val="20"/>
          <w:szCs w:val="20"/>
        </w:rPr>
        <w:t xml:space="preserve">Nine flip cards (front: heading and tagline; back: copy). No buttons on the cards and no pill row:</w:t>
      </w:r>
    </w:p>
    <w:p>
      <w:pPr>
        <w:pStyle w:val="ListParagraph"/>
        <w:keepNext/>
        <w:numPr>
          <w:ilvl w:val="0"/>
          <w:numId w:val="4"/>
        </w:numPr>
        <w:spacing w:after="40" w:before="80"/>
      </w:pPr>
      <w:r>
        <w:rPr>
          <w:b/>
          <w:bCs/>
          <w:color w:val="0A1F33"/>
          <w:sz w:val="20"/>
          <w:szCs w:val="20"/>
        </w:rPr>
        <w:t xml:space="preserve">Finance and Financial Reporting</w:t>
      </w:r>
    </w:p>
    <w:p>
      <w:pPr>
        <w:spacing w:after="60"/>
        <w:ind w:left="540"/>
        <w:jc w:val="both"/>
      </w:pPr>
      <w:r>
        <w:rPr>
          <w:b/>
          <w:bCs/>
          <w:color w:val="0A1F33"/>
          <w:sz w:val="19"/>
          <w:szCs w:val="19"/>
        </w:rPr>
        <w:t xml:space="preserve">Tagline: </w:t>
      </w:r>
      <w:r>
        <w:rPr>
          <w:i/>
          <w:iCs/>
          <w:color w:val="0A1F33"/>
          <w:sz w:val="19"/>
          <w:szCs w:val="19"/>
        </w:rPr>
        <w:t xml:space="preserve">Revenue, margin and exposure on a single page</w:t>
      </w:r>
    </w:p>
    <w:p>
      <w:pPr>
        <w:spacing w:after="60"/>
        <w:ind w:left="540"/>
        <w:jc w:val="both"/>
      </w:pPr>
      <w:r>
        <w:rPr>
          <w:b/>
          <w:bCs/>
          <w:color w:val="0A1F33"/>
          <w:sz w:val="19"/>
          <w:szCs w:val="19"/>
        </w:rPr>
        <w:t xml:space="preserve">Back: </w:t>
      </w:r>
      <w:r>
        <w:rPr>
          <w:color w:val="0A1F33"/>
          <w:sz w:val="19"/>
          <w:szCs w:val="19"/>
        </w:rPr>
        <w:t xml:space="preserve">Our finance views track revenue streams, cost structure, profitability trend and risk exposure, giving leadership a clear basis for deciding where to invest next. Because our accountants help design them, the figures tie back to your books.</w:t>
      </w:r>
    </w:p>
    <w:p>
      <w:pPr>
        <w:pStyle w:val="ListParagraph"/>
        <w:keepNext/>
        <w:numPr>
          <w:ilvl w:val="0"/>
          <w:numId w:val="4"/>
        </w:numPr>
        <w:spacing w:after="40" w:before="80"/>
      </w:pPr>
      <w:r>
        <w:rPr>
          <w:b/>
          <w:bCs/>
          <w:color w:val="0A1F33"/>
          <w:sz w:val="20"/>
          <w:szCs w:val="20"/>
        </w:rPr>
        <w:t xml:space="preserve">Customer Relationships</w:t>
      </w:r>
    </w:p>
    <w:p>
      <w:pPr>
        <w:spacing w:after="60"/>
        <w:ind w:left="540"/>
        <w:jc w:val="both"/>
      </w:pPr>
      <w:r>
        <w:rPr>
          <w:b/>
          <w:bCs/>
          <w:color w:val="0A1F33"/>
          <w:sz w:val="19"/>
          <w:szCs w:val="19"/>
        </w:rPr>
        <w:t xml:space="preserve">Tagline: </w:t>
      </w:r>
      <w:r>
        <w:rPr>
          <w:i/>
          <w:iCs/>
          <w:color w:val="0A1F33"/>
          <w:sz w:val="19"/>
          <w:szCs w:val="19"/>
        </w:rPr>
        <w:t xml:space="preserve">Who stays, who drifts and what each customer is worth</w:t>
      </w:r>
    </w:p>
    <w:p>
      <w:pPr>
        <w:spacing w:after="60"/>
        <w:ind w:left="540"/>
        <w:jc w:val="both"/>
      </w:pPr>
      <w:r>
        <w:rPr>
          <w:b/>
          <w:bCs/>
          <w:color w:val="0A1F33"/>
          <w:sz w:val="19"/>
          <w:szCs w:val="19"/>
        </w:rPr>
        <w:t xml:space="preserve">Back: </w:t>
      </w:r>
      <w:r>
        <w:rPr>
          <w:color w:val="0A1F33"/>
          <w:sz w:val="19"/>
          <w:szCs w:val="19"/>
        </w:rPr>
        <w:t xml:space="preserve">Behaviour, engagement, satisfaction, retention and lifetime value are set side by side in our customer views, with segments that tell account teams where to focus. Where your records sit in </w:t>
      </w:r>
      <w:hyperlink w:history="1" r:id="rId4jiz3daonzsd089ty-rje">
        <w:r>
          <w:rPr>
            <w:rStyle w:val="Hyperlink"/>
            <w:color w:val="10538F"/>
            <w:sz w:val="19"/>
            <w:szCs w:val="19"/>
          </w:rPr>
          <w:t xml:space="preserve">SugarAI CRM</w:t>
        </w:r>
      </w:hyperlink>
      <w:r>
        <w:rPr>
          <w:color w:val="0A1F33"/>
          <w:sz w:val="19"/>
          <w:szCs w:val="19"/>
        </w:rPr>
        <w:t xml:space="preserve">, we connect it directly as a source.</w:t>
      </w:r>
    </w:p>
    <w:p>
      <w:pPr>
        <w:pStyle w:val="ListParagraph"/>
        <w:keepNext/>
        <w:numPr>
          <w:ilvl w:val="0"/>
          <w:numId w:val="4"/>
        </w:numPr>
        <w:spacing w:after="40" w:before="80"/>
      </w:pPr>
      <w:r>
        <w:rPr>
          <w:b/>
          <w:bCs/>
          <w:color w:val="0A1F33"/>
          <w:sz w:val="20"/>
          <w:szCs w:val="20"/>
        </w:rPr>
        <w:t xml:space="preserve">Supply Chain</w:t>
      </w:r>
    </w:p>
    <w:p>
      <w:pPr>
        <w:spacing w:after="60"/>
        <w:ind w:left="540"/>
        <w:jc w:val="both"/>
      </w:pPr>
      <w:r>
        <w:rPr>
          <w:b/>
          <w:bCs/>
          <w:color w:val="0A1F33"/>
          <w:sz w:val="19"/>
          <w:szCs w:val="19"/>
        </w:rPr>
        <w:t xml:space="preserve">Tagline: </w:t>
      </w:r>
      <w:r>
        <w:rPr>
          <w:i/>
          <w:iCs/>
          <w:color w:val="0A1F33"/>
          <w:sz w:val="19"/>
          <w:szCs w:val="19"/>
        </w:rPr>
        <w:t xml:space="preserve">Stock, suppliers and deliveries kept in balance</w:t>
      </w:r>
    </w:p>
    <w:p>
      <w:pPr>
        <w:spacing w:after="60"/>
        <w:ind w:left="540"/>
        <w:jc w:val="both"/>
      </w:pPr>
      <w:r>
        <w:rPr>
          <w:b/>
          <w:bCs/>
          <w:color w:val="0A1F33"/>
          <w:sz w:val="19"/>
          <w:szCs w:val="19"/>
        </w:rPr>
        <w:t xml:space="preserve">Back: </w:t>
      </w:r>
      <w:r>
        <w:rPr>
          <w:color w:val="0A1F33"/>
          <w:sz w:val="19"/>
          <w:szCs w:val="19"/>
        </w:rPr>
        <w:t xml:space="preserve">We map bottlenecks, inventory levels against demand, supplier performance and delivery reliability in one place, giving procurement and operations teams time to act on a late shipment or a stock shortage well before customers notice it.</w:t>
      </w:r>
    </w:p>
    <w:p>
      <w:pPr>
        <w:pStyle w:val="ListParagraph"/>
        <w:keepNext/>
        <w:numPr>
          <w:ilvl w:val="0"/>
          <w:numId w:val="4"/>
        </w:numPr>
        <w:spacing w:after="40" w:before="80"/>
      </w:pPr>
      <w:r>
        <w:rPr>
          <w:b/>
          <w:bCs/>
          <w:color w:val="0A1F33"/>
          <w:sz w:val="20"/>
          <w:szCs w:val="20"/>
        </w:rPr>
        <w:t xml:space="preserve">Manufacturing</w:t>
      </w:r>
    </w:p>
    <w:p>
      <w:pPr>
        <w:spacing w:after="60"/>
        <w:ind w:left="540"/>
        <w:jc w:val="both"/>
      </w:pPr>
      <w:r>
        <w:rPr>
          <w:b/>
          <w:bCs/>
          <w:color w:val="0A1F33"/>
          <w:sz w:val="19"/>
          <w:szCs w:val="19"/>
        </w:rPr>
        <w:t xml:space="preserve">Tagline: </w:t>
      </w:r>
      <w:r>
        <w:rPr>
          <w:i/>
          <w:iCs/>
          <w:color w:val="0A1F33"/>
          <w:sz w:val="19"/>
          <w:szCs w:val="19"/>
        </w:rPr>
        <w:t xml:space="preserve">Efficiency and quality from the plant floor up</w:t>
      </w:r>
    </w:p>
    <w:p>
      <w:pPr>
        <w:spacing w:after="60"/>
        <w:ind w:left="540"/>
        <w:jc w:val="both"/>
      </w:pPr>
      <w:r>
        <w:rPr>
          <w:b/>
          <w:bCs/>
          <w:color w:val="0A1F33"/>
          <w:sz w:val="19"/>
          <w:szCs w:val="19"/>
        </w:rPr>
        <w:t xml:space="preserve">Back: </w:t>
      </w:r>
      <w:r>
        <w:rPr>
          <w:color w:val="0A1F33"/>
          <w:sz w:val="19"/>
          <w:szCs w:val="19"/>
        </w:rPr>
        <w:t xml:space="preserve">Production reporting from our team tracks efficiency, quality, downtime and resource utilisation, broken down by line, shift and product. Plant managers see where output is lost and what causes it, and finance sees the same figures costed.</w:t>
      </w:r>
    </w:p>
    <w:p>
      <w:pPr>
        <w:pStyle w:val="ListParagraph"/>
        <w:keepNext/>
        <w:numPr>
          <w:ilvl w:val="0"/>
          <w:numId w:val="4"/>
        </w:numPr>
        <w:spacing w:after="40" w:before="80"/>
      </w:pPr>
      <w:r>
        <w:rPr>
          <w:b/>
          <w:bCs/>
          <w:color w:val="0A1F33"/>
          <w:sz w:val="20"/>
          <w:szCs w:val="20"/>
        </w:rPr>
        <w:t xml:space="preserve">HR and Workforce</w:t>
      </w:r>
    </w:p>
    <w:p>
      <w:pPr>
        <w:spacing w:after="60"/>
        <w:ind w:left="540"/>
        <w:jc w:val="both"/>
      </w:pPr>
      <w:r>
        <w:rPr>
          <w:b/>
          <w:bCs/>
          <w:color w:val="0A1F33"/>
          <w:sz w:val="19"/>
          <w:szCs w:val="19"/>
        </w:rPr>
        <w:t xml:space="preserve">Tagline: </w:t>
      </w:r>
      <w:r>
        <w:rPr>
          <w:i/>
          <w:iCs/>
          <w:color w:val="0A1F33"/>
          <w:sz w:val="19"/>
          <w:szCs w:val="19"/>
        </w:rPr>
        <w:t xml:space="preserve">People data your leadership can plan around</w:t>
      </w:r>
    </w:p>
    <w:p>
      <w:pPr>
        <w:spacing w:after="60"/>
        <w:ind w:left="540"/>
        <w:jc w:val="both"/>
      </w:pPr>
      <w:r>
        <w:rPr>
          <w:b/>
          <w:bCs/>
          <w:color w:val="0A1F33"/>
          <w:sz w:val="19"/>
          <w:szCs w:val="19"/>
        </w:rPr>
        <w:t xml:space="preserve">Back: </w:t>
      </w:r>
      <w:r>
        <w:rPr>
          <w:color w:val="0A1F33"/>
          <w:sz w:val="19"/>
          <w:szCs w:val="19"/>
        </w:rPr>
        <w:t xml:space="preserve">From HR and payroll records, we produce workforce reporting on performance trends, retention, recruitment effectiveness and productivity. HR leaders can see where attrition is concentrated and which hiring channels deliver, with access restricted by role.</w:t>
      </w:r>
    </w:p>
    <w:p>
      <w:pPr>
        <w:pStyle w:val="ListParagraph"/>
        <w:keepNext/>
        <w:numPr>
          <w:ilvl w:val="0"/>
          <w:numId w:val="4"/>
        </w:numPr>
        <w:spacing w:after="40" w:before="80"/>
      </w:pPr>
      <w:r>
        <w:rPr>
          <w:b/>
          <w:bCs/>
          <w:color w:val="0A1F33"/>
          <w:sz w:val="20"/>
          <w:szCs w:val="20"/>
        </w:rPr>
        <w:t xml:space="preserve">Hospitality</w:t>
      </w:r>
    </w:p>
    <w:p>
      <w:pPr>
        <w:spacing w:after="60"/>
        <w:ind w:left="540"/>
        <w:jc w:val="both"/>
      </w:pPr>
      <w:r>
        <w:rPr>
          <w:b/>
          <w:bCs/>
          <w:color w:val="0A1F33"/>
          <w:sz w:val="19"/>
          <w:szCs w:val="19"/>
        </w:rPr>
        <w:t xml:space="preserve">Tagline: </w:t>
      </w:r>
      <w:r>
        <w:rPr>
          <w:i/>
          <w:iCs/>
          <w:color w:val="0A1F33"/>
          <w:sz w:val="19"/>
          <w:szCs w:val="19"/>
        </w:rPr>
        <w:t xml:space="preserve">Occupancy and room revenue, property by property</w:t>
      </w:r>
    </w:p>
    <w:p>
      <w:pPr>
        <w:spacing w:after="60"/>
        <w:ind w:left="540"/>
        <w:jc w:val="both"/>
      </w:pPr>
      <w:r>
        <w:rPr>
          <w:b/>
          <w:bCs/>
          <w:color w:val="0A1F33"/>
          <w:sz w:val="19"/>
          <w:szCs w:val="19"/>
        </w:rPr>
        <w:t xml:space="preserve">Back: </w:t>
      </w:r>
      <w:r>
        <w:rPr>
          <w:color w:val="0A1F33"/>
          <w:sz w:val="19"/>
          <w:szCs w:val="19"/>
        </w:rPr>
        <w:t xml:space="preserve">For hotels and resorts, we track occupancy, revenue per available room (RevPAR), guest satisfaction and service efficiency. General managers and revenue teams compare properties, room types and booking channels, then base pricing and staffing decisions on current figures.</w:t>
      </w:r>
    </w:p>
    <w:p>
      <w:pPr>
        <w:pStyle w:val="ListParagraph"/>
        <w:keepNext/>
        <w:numPr>
          <w:ilvl w:val="0"/>
          <w:numId w:val="4"/>
        </w:numPr>
        <w:spacing w:after="40" w:before="80"/>
      </w:pPr>
      <w:r>
        <w:rPr>
          <w:b/>
          <w:bCs/>
          <w:color w:val="0A1F33"/>
          <w:sz w:val="20"/>
          <w:szCs w:val="20"/>
        </w:rPr>
        <w:t xml:space="preserve">Logistics</w:t>
      </w:r>
    </w:p>
    <w:p>
      <w:pPr>
        <w:spacing w:after="60"/>
        <w:ind w:left="540"/>
        <w:jc w:val="both"/>
      </w:pPr>
      <w:r>
        <w:rPr>
          <w:b/>
          <w:bCs/>
          <w:color w:val="0A1F33"/>
          <w:sz w:val="19"/>
          <w:szCs w:val="19"/>
        </w:rPr>
        <w:t xml:space="preserve">Tagline: </w:t>
      </w:r>
      <w:r>
        <w:rPr>
          <w:i/>
          <w:iCs/>
          <w:color w:val="0A1F33"/>
          <w:sz w:val="19"/>
          <w:szCs w:val="19"/>
        </w:rPr>
        <w:t xml:space="preserve">Shipments, routes and fleet on one screen</w:t>
      </w:r>
    </w:p>
    <w:p>
      <w:pPr>
        <w:spacing w:after="60"/>
        <w:ind w:left="540"/>
        <w:jc w:val="both"/>
      </w:pPr>
      <w:r>
        <w:rPr>
          <w:b/>
          <w:bCs/>
          <w:color w:val="0A1F33"/>
          <w:sz w:val="19"/>
          <w:szCs w:val="19"/>
        </w:rPr>
        <w:t xml:space="preserve">Back: </w:t>
      </w:r>
      <w:r>
        <w:rPr>
          <w:color w:val="0A1F33"/>
          <w:sz w:val="19"/>
          <w:szCs w:val="19"/>
        </w:rPr>
        <w:t xml:space="preserve">We build logistics reporting on shipment status, route and on-time delivery performance, fleet utilisation and cost per delivery. Operations managers spot the lanes and vehicles that erode margin, and customer service can answer a tracking query without calling the depot.</w:t>
      </w:r>
    </w:p>
    <w:p>
      <w:pPr>
        <w:pStyle w:val="ListParagraph"/>
        <w:keepNext/>
        <w:numPr>
          <w:ilvl w:val="0"/>
          <w:numId w:val="4"/>
        </w:numPr>
        <w:spacing w:after="40" w:before="80"/>
      </w:pPr>
      <w:r>
        <w:rPr>
          <w:b/>
          <w:bCs/>
          <w:color w:val="0A1F33"/>
          <w:sz w:val="20"/>
          <w:szCs w:val="20"/>
        </w:rPr>
        <w:t xml:space="preserve">Wholesale Distribution</w:t>
      </w:r>
    </w:p>
    <w:p>
      <w:pPr>
        <w:spacing w:after="60"/>
        <w:ind w:left="540"/>
        <w:jc w:val="both"/>
      </w:pPr>
      <w:r>
        <w:rPr>
          <w:b/>
          <w:bCs/>
          <w:color w:val="0A1F33"/>
          <w:sz w:val="19"/>
          <w:szCs w:val="19"/>
        </w:rPr>
        <w:t xml:space="preserve">Tagline: </w:t>
      </w:r>
      <w:r>
        <w:rPr>
          <w:i/>
          <w:iCs/>
          <w:color w:val="0A1F33"/>
          <w:sz w:val="19"/>
          <w:szCs w:val="19"/>
        </w:rPr>
        <w:t xml:space="preserve">Orders, warehouses and margin across every channel</w:t>
      </w:r>
    </w:p>
    <w:p>
      <w:pPr>
        <w:spacing w:after="60"/>
        <w:ind w:left="540"/>
        <w:jc w:val="both"/>
      </w:pPr>
      <w:r>
        <w:rPr>
          <w:b/>
          <w:bCs/>
          <w:color w:val="0A1F33"/>
          <w:sz w:val="19"/>
          <w:szCs w:val="19"/>
        </w:rPr>
        <w:t xml:space="preserve">Back: </w:t>
      </w:r>
      <w:r>
        <w:rPr>
          <w:color w:val="0A1F33"/>
          <w:sz w:val="19"/>
          <w:szCs w:val="19"/>
        </w:rPr>
        <w:t xml:space="preserve">Order, stock and sales data feed our reporting on fulfilment, warehouse efficiency, demand by product and channel performance, with margin shown at each level. Commercial and warehouse managers see which lines move, which sit, and where discounting is eating into profit.</w:t>
      </w:r>
    </w:p>
    <w:p>
      <w:pPr>
        <w:pStyle w:val="ListParagraph"/>
        <w:keepNext/>
        <w:numPr>
          <w:ilvl w:val="0"/>
          <w:numId w:val="4"/>
        </w:numPr>
        <w:spacing w:after="40" w:before="80"/>
      </w:pPr>
      <w:r>
        <w:rPr>
          <w:b/>
          <w:bCs/>
          <w:color w:val="0A1F33"/>
          <w:sz w:val="20"/>
          <w:szCs w:val="20"/>
        </w:rPr>
        <w:t xml:space="preserve">Events and Media</w:t>
      </w:r>
    </w:p>
    <w:p>
      <w:pPr>
        <w:spacing w:after="60"/>
        <w:ind w:left="540"/>
        <w:jc w:val="both"/>
      </w:pPr>
      <w:r>
        <w:rPr>
          <w:b/>
          <w:bCs/>
          <w:color w:val="0A1F33"/>
          <w:sz w:val="19"/>
          <w:szCs w:val="19"/>
        </w:rPr>
        <w:t xml:space="preserve">Tagline: </w:t>
      </w:r>
      <w:r>
        <w:rPr>
          <w:i/>
          <w:iCs/>
          <w:color w:val="0A1F33"/>
          <w:sz w:val="19"/>
          <w:szCs w:val="19"/>
        </w:rPr>
        <w:t xml:space="preserve">Audiences, campaigns and reach measured together</w:t>
      </w:r>
    </w:p>
    <w:p>
      <w:pPr>
        <w:spacing w:after="60"/>
        <w:ind w:left="540"/>
        <w:jc w:val="both"/>
      </w:pPr>
      <w:r>
        <w:rPr>
          <w:b/>
          <w:bCs/>
          <w:color w:val="0A1F33"/>
          <w:sz w:val="19"/>
          <w:szCs w:val="19"/>
        </w:rPr>
        <w:t xml:space="preserve">Back: </w:t>
      </w:r>
      <w:r>
        <w:rPr>
          <w:color w:val="0A1F33"/>
          <w:sz w:val="19"/>
          <w:szCs w:val="19"/>
        </w:rPr>
        <w:t xml:space="preserve">We measure attendance, audience behaviour, campaign effectiveness, brand reach and engagement for each event and publication. Marketing and event teams compare channels and campaigns on the same measures, then shift budget towards what their audiences actually respond to.</w:t>
      </w:r>
    </w:p>
    <w:p>
      <w:pPr>
        <w:spacing w:after="120"/>
      </w:pPr>
    </w:p>
    <w:p>
      <w:pPr>
        <w:pStyle w:val="Heading1"/>
        <w:keepNext/>
      </w:pPr>
      <w:r>
        <w:t xml:space="preserve">6. HLB HAMT's Data Visualisation Services</w:t>
      </w:r>
    </w:p>
    <w:p>
      <w:pPr>
        <w:pStyle w:val="ListParagraph"/>
        <w:numPr>
          <w:ilvl w:val="0"/>
          <w:numId w:val="2"/>
        </w:numPr>
        <w:spacing w:after="80"/>
        <w:jc w:val="both"/>
      </w:pPr>
      <w:r>
        <w:rPr>
          <w:b/>
          <w:bCs/>
          <w:color w:val="0A1F33"/>
          <w:sz w:val="20"/>
          <w:szCs w:val="20"/>
        </w:rPr>
        <w:t xml:space="preserve">Eyebrow: </w:t>
      </w:r>
      <w:r>
        <w:rPr>
          <w:color w:val="0A1F33"/>
          <w:sz w:val="20"/>
          <w:szCs w:val="20"/>
        </w:rPr>
        <w:t xml:space="preserve">WHAT WE DO</w:t>
      </w:r>
    </w:p>
    <w:p>
      <w:pPr>
        <w:pStyle w:val="ListParagraph"/>
        <w:numPr>
          <w:ilvl w:val="0"/>
          <w:numId w:val="2"/>
        </w:numPr>
        <w:spacing w:after="80"/>
        <w:jc w:val="both"/>
      </w:pPr>
      <w:r>
        <w:rPr>
          <w:b/>
          <w:bCs/>
          <w:color w:val="0A1F33"/>
          <w:sz w:val="20"/>
          <w:szCs w:val="20"/>
        </w:rPr>
        <w:t xml:space="preserve">H2: </w:t>
      </w:r>
      <w:r>
        <w:rPr>
          <w:color w:val="0A1F33"/>
          <w:sz w:val="20"/>
          <w:szCs w:val="20"/>
        </w:rPr>
        <w:t xml:space="preserve">HLB HAMT's Data Visualisation Services</w:t>
      </w:r>
    </w:p>
    <w:p>
      <w:pPr>
        <w:pStyle w:val="ListParagraph"/>
        <w:numPr>
          <w:ilvl w:val="0"/>
          <w:numId w:val="2"/>
        </w:numPr>
        <w:spacing w:after="80"/>
        <w:jc w:val="both"/>
      </w:pPr>
      <w:r>
        <w:rPr>
          <w:b/>
          <w:bCs/>
          <w:color w:val="0A1F33"/>
          <w:sz w:val="20"/>
          <w:szCs w:val="20"/>
        </w:rPr>
        <w:t xml:space="preserve">Intro: </w:t>
      </w:r>
      <w:r>
        <w:rPr>
          <w:color w:val="0A1F33"/>
          <w:sz w:val="20"/>
          <w:szCs w:val="20"/>
        </w:rPr>
        <w:t xml:space="preserve">We answer those sector needs with six offerings: our data visualisation consulting services run from the first KPI workshop to support after launch. Take one, or combine several as your reporting matures.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6236"/>
      </w:tblGrid>
      <w:tr>
        <w:trPr>
          <w:tblHeader/>
        </w:trPr>
        <w:tc>
          <w:tcPr>
            <w:tcW w:type="dxa" w:w="7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
            </w:r>
          </w:p>
        </w:tc>
        <w:tc>
          <w:tcPr>
            <w:tcW w:type="dxa" w:w="3000"/>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Heading</w:t>
            </w:r>
          </w:p>
        </w:tc>
        <w:tc>
          <w:tcPr>
            <w:tcW w:type="dxa" w:w="6236"/>
            <w:tcBorders>
              <w:top w:val="single" w:color="000000" w:sz="4"/>
              <w:left w:val="single" w:color="000000" w:sz="4"/>
              <w:bottom w:val="single" w:color="000000" w:sz="4"/>
              <w:right w:val="single" w:color="000000" w:sz="4"/>
            </w:tcBorders>
            <w:shd w:fill="10538F" w:color="auto" w:val="clear"/>
            <w:tcMar>
              <w:top w:type="dxa" w:w="40"/>
              <w:left w:type="dxa" w:w="100"/>
              <w:bottom w:type="dxa" w:w="40"/>
              <w:right w:type="dxa" w:w="100"/>
            </w:tcMar>
          </w:tcPr>
          <w:p>
            <w:r>
              <w:rPr>
                <w:b/>
                <w:bCs/>
                <w:color w:val="FFFFFF"/>
                <w:sz w:val="19"/>
                <w:szCs w:val="19"/>
              </w:rPr>
              <w:t xml:space="preserve">Copy</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01</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Reporting Strategy and KPI Design</w:t>
            </w:r>
          </w:p>
        </w:tc>
        <w:tc>
          <w:tcPr>
            <w:tcW w:type="dxa" w:w="62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We start by auditing the reports and spreadsheets you rely on today and interviewing the people who use them. From there we agree one definition for each KPI, map which audience needs which view, and set out a phased roadmap with a platform recommendation that fits your analytics plans as well as your reporting.</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02</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Data Preparation and Integration</w:t>
            </w:r>
          </w:p>
        </w:tc>
        <w:tc>
          <w:tcPr>
            <w:tcW w:type="dxa" w:w="62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Our engineers connect your ERP, CRM, finance, HR and operational sources, whether on-premises or in the cloud, then clean, reconcile and model them into the governed layer described above. Scheduled refresh keeps figures current, and incremental refresh loads only what has changed, which lets large histories update quickly without reprocessing years of records each night.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03</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Dashboard and Enterprise Report Development</w:t>
            </w:r>
          </w:p>
        </w:tc>
        <w:tc>
          <w:tcPr>
            <w:tcW w:type="dxa" w:w="62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Building starts once you have approved the wireframes. We then produce interactive dashboards and scorecards, formal paginated reports for boards and regulators, and mobile layouts for people away from their desks. Row-level security is set up as part of the build, so each user opens a report and sees only the records their role allows.</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04</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Performance Tuning for Existing Dashboards</w:t>
            </w:r>
          </w:p>
        </w:tc>
        <w:tc>
          <w:tcPr>
            <w:tcW w:type="dxa" w:w="62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If reports are slow or ignored, we find out why before changing anything. Our engineers time each page, find whether the delay sits in the data refresh, the model or the calculations, and fix it there: aggregation tables, fewer queries per page, leaner formulas. Where clarity is the problem, we rework layouts so the key figure is seen first.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05</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Migration and Reporting Modernisation</w:t>
            </w:r>
          </w:p>
        </w:tc>
        <w:tc>
          <w:tcPr>
            <w:tcW w:type="dxa" w:w="62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When you move from another reporting tool, we preserve the business rules your figures depend on and take the chance to rethink layouts that no longer serve their readers. Where your data platform is being rebuilt at the same time, reporting keeps running throughout: we advise your engineers and prove each step with a working prototype first.</w:t>
            </w:r>
          </w:p>
        </w:tc>
      </w:tr>
      <w:tr>
        <w:trPr>
          <w:cantSplit/>
        </w:trPr>
        <w:tc>
          <w:tcPr>
            <w:tcW w:type="dxa" w:w="7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06</w:t>
            </w:r>
          </w:p>
        </w:tc>
        <w:tc>
          <w:tcPr>
            <w:tcW w:type="dxa" w:w="3000"/>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left"/>
            </w:pPr>
            <w:r>
              <w:rPr>
                <w:color w:val="0A1F33"/>
                <w:sz w:val="18"/>
                <w:szCs w:val="18"/>
              </w:rPr>
              <w:t xml:space="preserve">Training, Adoption and Support</w:t>
            </w:r>
          </w:p>
        </w:tc>
        <w:tc>
          <w:tcPr>
            <w:tcW w:type="dxa" w:w="6236"/>
            <w:tcBorders>
              <w:top w:val="single" w:color="000000" w:sz="4"/>
              <w:left w:val="single" w:color="000000" w:sz="4"/>
              <w:bottom w:val="single" w:color="000000" w:sz="4"/>
              <w:right w:val="single" w:color="000000" w:sz="4"/>
            </w:tcBorders>
            <w:tcMar>
              <w:top w:type="dxa" w:w="40"/>
              <w:left w:type="dxa" w:w="100"/>
              <w:bottom w:type="dxa" w:w="40"/>
              <w:right w:type="dxa" w:w="100"/>
            </w:tcMar>
          </w:tcPr>
          <w:p>
            <w:pPr>
              <w:spacing w:after="20"/>
              <w:jc w:val="both"/>
            </w:pPr>
            <w:r>
              <w:rPr>
                <w:color w:val="0A1F33"/>
                <w:sz w:val="18"/>
                <w:szCs w:val="18"/>
              </w:rPr>
              <w:t xml:space="preserve">We match training to the role. Leaders learn what each scorecard is telling them and which questions to ask; business users learn to filter and explore on their own; report builders learn to extend the model without breaking shared definitions. We hand over documentation for each model and report, then keep monitoring, fixing and enhancing your reporting as needs change.</w:t>
            </w:r>
          </w:p>
        </w:tc>
      </w:tr>
    </w:tbl>
    <w:p>
      <w:pPr>
        <w:spacing w:after="120"/>
      </w:pPr>
    </w:p>
    <w:p>
      <w:pPr>
        <w:pStyle w:val="Heading1"/>
        <w:keepNext/>
      </w:pPr>
      <w:r>
        <w:t xml:space="preserve">7. Mid-page CTA 1</w:t>
      </w:r>
    </w:p>
    <w:p>
      <w:pPr>
        <w:pStyle w:val="ListParagraph"/>
        <w:numPr>
          <w:ilvl w:val="0"/>
          <w:numId w:val="2"/>
        </w:numPr>
        <w:spacing w:after="80"/>
        <w:jc w:val="both"/>
      </w:pPr>
      <w:r>
        <w:rPr>
          <w:b/>
          <w:bCs/>
          <w:color w:val="0A1F33"/>
          <w:sz w:val="20"/>
          <w:szCs w:val="20"/>
        </w:rPr>
        <w:t xml:space="preserve">H2: </w:t>
      </w:r>
      <w:r>
        <w:rPr>
          <w:color w:val="0A1F33"/>
          <w:sz w:val="20"/>
          <w:szCs w:val="20"/>
        </w:rPr>
        <w:t xml:space="preserve">Not Sure Where to Start? Begin With a Dashboard Review</w:t>
      </w:r>
    </w:p>
    <w:p>
      <w:pPr>
        <w:pStyle w:val="ListParagraph"/>
        <w:numPr>
          <w:ilvl w:val="0"/>
          <w:numId w:val="2"/>
        </w:numPr>
        <w:spacing w:after="80"/>
        <w:jc w:val="both"/>
      </w:pPr>
      <w:r>
        <w:rPr>
          <w:b/>
          <w:bCs/>
          <w:color w:val="0A1F33"/>
          <w:sz w:val="20"/>
          <w:szCs w:val="20"/>
        </w:rPr>
        <w:t xml:space="preserve">Body: </w:t>
      </w:r>
      <w:r>
        <w:rPr>
          <w:color w:val="0A1F33"/>
          <w:sz w:val="20"/>
          <w:szCs w:val="20"/>
        </w:rPr>
        <w:t xml:space="preserve">Show us your current reports, sources and KPIs, and we will recommend where the first build should focus.</w:t>
      </w:r>
    </w:p>
    <w:p>
      <w:pPr>
        <w:pStyle w:val="ListParagraph"/>
        <w:numPr>
          <w:ilvl w:val="0"/>
          <w:numId w:val="2"/>
        </w:numPr>
        <w:spacing w:after="80"/>
        <w:jc w:val="both"/>
      </w:pPr>
      <w:r>
        <w:rPr>
          <w:b/>
          <w:bCs/>
          <w:color w:val="0A1F33"/>
          <w:sz w:val="20"/>
          <w:szCs w:val="20"/>
        </w:rPr>
        <w:t xml:space="preserve">Button: </w:t>
      </w:r>
      <w:r>
        <w:rPr>
          <w:color w:val="0A1F33"/>
          <w:sz w:val="20"/>
          <w:szCs w:val="20"/>
        </w:rPr>
        <w:t xml:space="preserve">Request a dashboard review (links to #contact)</w:t>
      </w:r>
    </w:p>
    <w:p>
      <w:pPr>
        <w:spacing w:after="120"/>
      </w:pPr>
    </w:p>
    <w:p>
      <w:pPr>
        <w:pStyle w:val="Heading1"/>
        <w:keepNext/>
      </w:pPr>
      <w:r>
        <w:t xml:space="preserve">8. Delivery Method</w:t>
      </w:r>
    </w:p>
    <w:p>
      <w:pPr>
        <w:pStyle w:val="ListParagraph"/>
        <w:numPr>
          <w:ilvl w:val="0"/>
          <w:numId w:val="2"/>
        </w:numPr>
        <w:spacing w:after="80"/>
        <w:jc w:val="both"/>
      </w:pPr>
      <w:r>
        <w:rPr>
          <w:b/>
          <w:bCs/>
          <w:color w:val="0A1F33"/>
          <w:sz w:val="20"/>
          <w:szCs w:val="20"/>
        </w:rPr>
        <w:t xml:space="preserve">Eyebrow: </w:t>
      </w:r>
      <w:r>
        <w:rPr>
          <w:color w:val="0A1F33"/>
          <w:sz w:val="20"/>
          <w:szCs w:val="20"/>
        </w:rPr>
        <w:t xml:space="preserve">HOW WE DELIVER</w:t>
      </w:r>
    </w:p>
    <w:p>
      <w:pPr>
        <w:pStyle w:val="ListParagraph"/>
        <w:numPr>
          <w:ilvl w:val="0"/>
          <w:numId w:val="2"/>
        </w:numPr>
        <w:spacing w:after="80"/>
        <w:jc w:val="both"/>
      </w:pPr>
      <w:r>
        <w:rPr>
          <w:b/>
          <w:bCs/>
          <w:color w:val="0A1F33"/>
          <w:sz w:val="20"/>
          <w:szCs w:val="20"/>
        </w:rPr>
        <w:t xml:space="preserve">H2: </w:t>
      </w:r>
      <w:r>
        <w:rPr>
          <w:color w:val="0A1F33"/>
          <w:sz w:val="20"/>
          <w:szCs w:val="20"/>
        </w:rPr>
        <w:t xml:space="preserve">Measures First, Visuals Second: Our Delivery Method</w:t>
      </w:r>
    </w:p>
    <w:p>
      <w:pPr>
        <w:pStyle w:val="ListParagraph"/>
        <w:numPr>
          <w:ilvl w:val="0"/>
          <w:numId w:val="2"/>
        </w:numPr>
        <w:spacing w:after="80"/>
        <w:jc w:val="both"/>
      </w:pPr>
      <w:r>
        <w:rPr>
          <w:b/>
          <w:bCs/>
          <w:color w:val="0A1F33"/>
          <w:sz w:val="20"/>
          <w:szCs w:val="20"/>
        </w:rPr>
        <w:t xml:space="preserve">Intro: </w:t>
      </w:r>
      <w:r>
        <w:rPr>
          <w:color w:val="0A1F33"/>
          <w:sz w:val="20"/>
          <w:szCs w:val="20"/>
        </w:rPr>
        <w:t xml:space="preserve">Whichever services you choose, we deliver them in five stages, starting with how success will be measured. Only 22% of organisations Gartner surveyed had defined, tracked and communicated business impact metrics for most of their data and analytics use cases.</w:t>
      </w:r>
      <w:r>
        <w:rPr>
          <w:color w:val="0A1F33"/>
          <w:sz w:val="20"/>
          <w:szCs w:val="20"/>
          <w:vertAlign w:val="superscript"/>
        </w:rPr>
        <w:t xml:space="preserve">3</w:t>
      </w:r>
    </w:p>
    <w:p>
      <w:pPr>
        <w:keepNext/>
        <w:spacing w:after="80" w:before="60"/>
        <w:jc w:val="both"/>
      </w:pPr>
      <w:r>
        <w:rPr>
          <w:color w:val="0A1F33"/>
          <w:sz w:val="20"/>
          <w:szCs w:val="20"/>
        </w:rPr>
        <w:t xml:space="preserve">Five-step timeline (highlighted band, no durations, no button):</w:t>
      </w:r>
    </w:p>
    <w:p>
      <w:pPr>
        <w:pStyle w:val="ListParagraph"/>
        <w:numPr>
          <w:ilvl w:val="0"/>
          <w:numId w:val="5"/>
        </w:numPr>
        <w:spacing w:after="120"/>
        <w:jc w:val="both"/>
      </w:pPr>
      <w:r>
        <w:rPr>
          <w:b/>
          <w:bCs/>
          <w:color w:val="0A1F33"/>
          <w:sz w:val="20"/>
          <w:szCs w:val="20"/>
        </w:rPr>
        <w:t xml:space="preserve">Define the measures</w:t>
      </w:r>
      <w:r>
        <w:rPr>
          <w:color w:val="0A1F33"/>
          <w:sz w:val="20"/>
          <w:szCs w:val="20"/>
        </w:rPr>
        <w:t xml:space="preserve">  -  </w:t>
      </w:r>
      <w:r>
        <w:rPr>
          <w:color w:val="0A1F33"/>
          <w:sz w:val="20"/>
          <w:szCs w:val="20"/>
        </w:rPr>
        <w:t xml:space="preserve">Workshops with each audience agree the KPIs, their calculation rules, targets and the criteria that will show success.</w:t>
      </w:r>
    </w:p>
    <w:p>
      <w:pPr>
        <w:pStyle w:val="ListParagraph"/>
        <w:numPr>
          <w:ilvl w:val="0"/>
          <w:numId w:val="5"/>
        </w:numPr>
        <w:spacing w:after="120"/>
        <w:jc w:val="both"/>
      </w:pPr>
      <w:r>
        <w:rPr>
          <w:b/>
          <w:bCs/>
          <w:color w:val="0A1F33"/>
          <w:sz w:val="20"/>
          <w:szCs w:val="20"/>
        </w:rPr>
        <w:t xml:space="preserve">Prepare and model the data</w:t>
      </w:r>
      <w:r>
        <w:rPr>
          <w:color w:val="0A1F33"/>
          <w:sz w:val="20"/>
          <w:szCs w:val="20"/>
        </w:rPr>
        <w:t xml:space="preserve">  -  </w:t>
      </w:r>
      <w:r>
        <w:rPr>
          <w:color w:val="0A1F33"/>
          <w:sz w:val="20"/>
          <w:szCs w:val="20"/>
        </w:rPr>
        <w:t xml:space="preserve">Sources are connected and reconciled, then shaped into a semantic model with security rules set by role.</w:t>
      </w:r>
    </w:p>
    <w:p>
      <w:pPr>
        <w:pStyle w:val="ListParagraph"/>
        <w:numPr>
          <w:ilvl w:val="0"/>
          <w:numId w:val="5"/>
        </w:numPr>
        <w:spacing w:after="120"/>
        <w:jc w:val="both"/>
      </w:pPr>
      <w:r>
        <w:rPr>
          <w:b/>
          <w:bCs/>
          <w:color w:val="0A1F33"/>
          <w:sz w:val="20"/>
          <w:szCs w:val="20"/>
        </w:rPr>
        <w:t xml:space="preserve">Design and approve</w:t>
      </w:r>
      <w:r>
        <w:rPr>
          <w:color w:val="0A1F33"/>
          <w:sz w:val="20"/>
          <w:szCs w:val="20"/>
        </w:rPr>
        <w:t xml:space="preserve">  -  </w:t>
      </w:r>
      <w:r>
        <w:rPr>
          <w:color w:val="0A1F33"/>
          <w:sz w:val="20"/>
          <w:szCs w:val="20"/>
        </w:rPr>
        <w:t xml:space="preserve">We sketch each page as a wireframe, refine it into a mock-up with your reviewers, and build only from the approved version.</w:t>
      </w:r>
    </w:p>
    <w:p>
      <w:pPr>
        <w:pStyle w:val="ListParagraph"/>
        <w:numPr>
          <w:ilvl w:val="0"/>
          <w:numId w:val="5"/>
        </w:numPr>
        <w:spacing w:after="120"/>
        <w:jc w:val="both"/>
      </w:pPr>
      <w:r>
        <w:rPr>
          <w:b/>
          <w:bCs/>
          <w:color w:val="0A1F33"/>
          <w:sz w:val="20"/>
          <w:szCs w:val="20"/>
        </w:rPr>
        <w:t xml:space="preserve">Build, test and tune</w:t>
      </w:r>
      <w:r>
        <w:rPr>
          <w:color w:val="0A1F33"/>
          <w:sz w:val="20"/>
          <w:szCs w:val="20"/>
        </w:rPr>
        <w:t xml:space="preserve">  -  </w:t>
      </w:r>
      <w:r>
        <w:rPr>
          <w:color w:val="0A1F33"/>
          <w:sz w:val="20"/>
          <w:szCs w:val="20"/>
        </w:rPr>
        <w:t xml:space="preserve">We develop each view, check every figure against its source system and tune load times before users see it.</w:t>
      </w:r>
    </w:p>
    <w:p>
      <w:pPr>
        <w:pStyle w:val="ListParagraph"/>
        <w:numPr>
          <w:ilvl w:val="0"/>
          <w:numId w:val="5"/>
        </w:numPr>
        <w:spacing w:after="120"/>
        <w:jc w:val="both"/>
      </w:pPr>
      <w:r>
        <w:rPr>
          <w:b/>
          <w:bCs/>
          <w:color w:val="0A1F33"/>
          <w:sz w:val="20"/>
          <w:szCs w:val="20"/>
        </w:rPr>
        <w:t xml:space="preserve">Launch, train and support</w:t>
      </w:r>
      <w:r>
        <w:rPr>
          <w:color w:val="0A1F33"/>
          <w:sz w:val="20"/>
          <w:szCs w:val="20"/>
        </w:rPr>
        <w:t xml:space="preserve">  -  </w:t>
      </w:r>
      <w:r>
        <w:rPr>
          <w:color w:val="0A1F33"/>
          <w:sz w:val="20"/>
          <w:szCs w:val="20"/>
        </w:rPr>
        <w:t xml:space="preserve">We publish to each audience, train them, hand over documentation, then keep monitoring and improving what is live.</w:t>
      </w:r>
    </w:p>
    <w:p>
      <w:pPr>
        <w:spacing w:after="120"/>
      </w:pPr>
    </w:p>
    <w:p>
      <w:pPr>
        <w:pStyle w:val="Heading1"/>
        <w:keepNext/>
      </w:pPr>
      <w:r>
        <w:t xml:space="preserve">9. Engagement Models</w:t>
      </w:r>
    </w:p>
    <w:p>
      <w:pPr>
        <w:pStyle w:val="ListParagraph"/>
        <w:numPr>
          <w:ilvl w:val="0"/>
          <w:numId w:val="2"/>
        </w:numPr>
        <w:spacing w:after="80"/>
        <w:jc w:val="both"/>
      </w:pPr>
      <w:r>
        <w:rPr>
          <w:b/>
          <w:bCs/>
          <w:color w:val="0A1F33"/>
          <w:sz w:val="20"/>
          <w:szCs w:val="20"/>
        </w:rPr>
        <w:t xml:space="preserve">Eyebrow: </w:t>
      </w:r>
      <w:r>
        <w:rPr>
          <w:color w:val="0A1F33"/>
          <w:sz w:val="20"/>
          <w:szCs w:val="20"/>
        </w:rPr>
        <w:t xml:space="preserve">ENGAGEMENT MODELS</w:t>
      </w:r>
    </w:p>
    <w:p>
      <w:pPr>
        <w:pStyle w:val="ListParagraph"/>
        <w:numPr>
          <w:ilvl w:val="0"/>
          <w:numId w:val="2"/>
        </w:numPr>
        <w:spacing w:after="80"/>
        <w:jc w:val="both"/>
      </w:pPr>
      <w:r>
        <w:rPr>
          <w:b/>
          <w:bCs/>
          <w:color w:val="0A1F33"/>
          <w:sz w:val="20"/>
          <w:szCs w:val="20"/>
        </w:rPr>
        <w:t xml:space="preserve">H2: </w:t>
      </w:r>
      <w:r>
        <w:rPr>
          <w:color w:val="0A1F33"/>
          <w:sz w:val="20"/>
          <w:szCs w:val="20"/>
        </w:rPr>
        <w:t xml:space="preserve">Three Ways to Work With Us, Sized to Your Scope</w:t>
      </w:r>
    </w:p>
    <w:p>
      <w:pPr>
        <w:pStyle w:val="ListParagraph"/>
        <w:numPr>
          <w:ilvl w:val="0"/>
          <w:numId w:val="2"/>
        </w:numPr>
        <w:spacing w:after="80"/>
        <w:jc w:val="both"/>
      </w:pPr>
      <w:r>
        <w:rPr>
          <w:b/>
          <w:bCs/>
          <w:color w:val="0A1F33"/>
          <w:sz w:val="20"/>
          <w:szCs w:val="20"/>
        </w:rPr>
        <w:t xml:space="preserve">Intro: </w:t>
      </w:r>
      <w:r>
        <w:rPr>
          <w:color w:val="0A1F33"/>
          <w:sz w:val="20"/>
          <w:szCs w:val="20"/>
        </w:rPr>
        <w:t xml:space="preserve">We offer our data visualisation consulting services in three shapes built around the five stages above: start small, run all five for one function or a group, or call on us after launch.</w:t>
      </w:r>
    </w:p>
    <w:p>
      <w:pPr>
        <w:keepNext/>
        <w:spacing w:after="80" w:before="60"/>
        <w:jc w:val="both"/>
      </w:pPr>
      <w:r>
        <w:rPr>
          <w:color w:val="0A1F33"/>
          <w:sz w:val="20"/>
          <w:szCs w:val="20"/>
        </w:rPr>
        <w:t xml:space="preserve">Three-tab engagement matrix (Start, Build, Extend), no featured-offer card, no button:</w:t>
      </w:r>
    </w:p>
    <w:p>
      <w:pPr>
        <w:pStyle w:val="Heading2"/>
        <w:keepNext/>
      </w:pPr>
      <w:r>
        <w:t xml:space="preserve">Tab 1: Start</w:t>
      </w:r>
    </w:p>
    <w:p>
      <w:pPr>
        <w:keepNext/>
        <w:spacing w:after="80"/>
        <w:jc w:val="both"/>
      </w:pPr>
      <w:r>
        <w:rPr>
          <w:b/>
          <w:bCs/>
          <w:color w:val="0A1F33"/>
          <w:sz w:val="20"/>
          <w:szCs w:val="20"/>
        </w:rPr>
        <w:t xml:space="preserve">Tagline: </w:t>
      </w:r>
      <w:r>
        <w:rPr>
          <w:i/>
          <w:iCs/>
          <w:color w:val="0A1F33"/>
          <w:sz w:val="20"/>
          <w:szCs w:val="20"/>
        </w:rPr>
        <w:t xml:space="preserve">Test the approach on your own figures before committing further.</w:t>
      </w:r>
    </w:p>
    <w:p>
      <w:pPr>
        <w:pStyle w:val="ListParagraph"/>
        <w:numPr>
          <w:ilvl w:val="0"/>
          <w:numId w:val="6"/>
        </w:numPr>
        <w:spacing w:after="120"/>
        <w:jc w:val="both"/>
      </w:pPr>
      <w:r>
        <w:rPr>
          <w:b/>
          <w:bCs/>
          <w:color w:val="0A1F33"/>
          <w:sz w:val="20"/>
          <w:szCs w:val="20"/>
        </w:rPr>
        <w:t xml:space="preserve">Dashboard review</w:t>
      </w:r>
      <w:r>
        <w:rPr>
          <w:color w:val="0A1F33"/>
          <w:sz w:val="20"/>
          <w:szCs w:val="20"/>
        </w:rPr>
        <w:t xml:space="preserve">  -  </w:t>
      </w:r>
      <w:r>
        <w:rPr>
          <w:color w:val="0A1F33"/>
          <w:sz w:val="20"/>
          <w:szCs w:val="20"/>
        </w:rPr>
        <w:t xml:space="preserve">We look at the reports, sources and KPIs you already have and name the build that should come first.</w:t>
      </w:r>
    </w:p>
    <w:p>
      <w:pPr>
        <w:pStyle w:val="ListParagraph"/>
        <w:numPr>
          <w:ilvl w:val="0"/>
          <w:numId w:val="6"/>
        </w:numPr>
        <w:spacing w:after="120"/>
        <w:jc w:val="both"/>
      </w:pPr>
      <w:r>
        <w:rPr>
          <w:b/>
          <w:bCs/>
          <w:color w:val="0A1F33"/>
          <w:sz w:val="20"/>
          <w:szCs w:val="20"/>
        </w:rPr>
        <w:t xml:space="preserve">Prototype on a defined use case</w:t>
      </w:r>
      <w:r>
        <w:rPr>
          <w:color w:val="0A1F33"/>
          <w:sz w:val="20"/>
          <w:szCs w:val="20"/>
        </w:rPr>
        <w:t xml:space="preserve">  -  </w:t>
      </w:r>
      <w:r>
        <w:rPr>
          <w:color w:val="0A1F33"/>
          <w:sz w:val="20"/>
          <w:szCs w:val="20"/>
        </w:rPr>
        <w:t xml:space="preserve">A working dashboard on your own data for one agreed question, so you judge the result before a larger commitment.</w:t>
      </w:r>
    </w:p>
    <w:p>
      <w:pPr>
        <w:pStyle w:val="Heading2"/>
        <w:keepNext/>
      </w:pPr>
      <w:r>
        <w:t xml:space="preserve">Tab 2: Build</w:t>
      </w:r>
    </w:p>
    <w:p>
      <w:pPr>
        <w:keepNext/>
        <w:spacing w:after="80"/>
        <w:jc w:val="both"/>
      </w:pPr>
      <w:r>
        <w:rPr>
          <w:b/>
          <w:bCs/>
          <w:color w:val="0A1F33"/>
          <w:sz w:val="20"/>
          <w:szCs w:val="20"/>
        </w:rPr>
        <w:t xml:space="preserve">Tagline: </w:t>
      </w:r>
      <w:r>
        <w:rPr>
          <w:i/>
          <w:iCs/>
          <w:color w:val="0A1F33"/>
          <w:sz w:val="20"/>
          <w:szCs w:val="20"/>
        </w:rPr>
        <w:t xml:space="preserve">Full delivery, from one department to every entity you own.</w:t>
      </w:r>
    </w:p>
    <w:p>
      <w:pPr>
        <w:pStyle w:val="ListParagraph"/>
        <w:numPr>
          <w:ilvl w:val="0"/>
          <w:numId w:val="7"/>
        </w:numPr>
        <w:spacing w:after="120"/>
        <w:jc w:val="both"/>
      </w:pPr>
      <w:r>
        <w:rPr>
          <w:b/>
          <w:bCs/>
          <w:color w:val="0A1F33"/>
          <w:sz w:val="20"/>
          <w:szCs w:val="20"/>
        </w:rPr>
        <w:t xml:space="preserve">Department rollout</w:t>
      </w:r>
      <w:r>
        <w:rPr>
          <w:color w:val="0A1F33"/>
          <w:sz w:val="20"/>
          <w:szCs w:val="20"/>
        </w:rPr>
        <w:t xml:space="preserve">  -  </w:t>
      </w:r>
      <w:r>
        <w:rPr>
          <w:color w:val="0A1F33"/>
          <w:sz w:val="20"/>
          <w:szCs w:val="20"/>
        </w:rPr>
        <w:t xml:space="preserve">One function's dashboards and reports delivered end to end, from KPI workshop to trained users.</w:t>
      </w:r>
    </w:p>
    <w:p>
      <w:pPr>
        <w:pStyle w:val="ListParagraph"/>
        <w:numPr>
          <w:ilvl w:val="0"/>
          <w:numId w:val="7"/>
        </w:numPr>
        <w:spacing w:after="120"/>
        <w:jc w:val="both"/>
      </w:pPr>
      <w:r>
        <w:rPr>
          <w:b/>
          <w:bCs/>
          <w:color w:val="0A1F33"/>
          <w:sz w:val="20"/>
          <w:szCs w:val="20"/>
        </w:rPr>
        <w:t xml:space="preserve">Enterprise reporting programme</w:t>
      </w:r>
      <w:r>
        <w:rPr>
          <w:color w:val="0A1F33"/>
          <w:sz w:val="20"/>
          <w:szCs w:val="20"/>
        </w:rPr>
        <w:t xml:space="preserve">  -  </w:t>
      </w:r>
      <w:r>
        <w:rPr>
          <w:color w:val="0A1F33"/>
          <w:sz w:val="20"/>
          <w:szCs w:val="20"/>
        </w:rPr>
        <w:t xml:space="preserve">Several departments or entities brought onto shared definitions and one model, phased so each release is usable on its own.</w:t>
      </w:r>
    </w:p>
    <w:p>
      <w:pPr>
        <w:pStyle w:val="Heading2"/>
        <w:keepNext/>
      </w:pPr>
      <w:r>
        <w:t xml:space="preserve">Tab 3: Extend</w:t>
      </w:r>
    </w:p>
    <w:p>
      <w:pPr>
        <w:keepNext/>
        <w:spacing w:after="80"/>
        <w:jc w:val="both"/>
      </w:pPr>
      <w:r>
        <w:rPr>
          <w:b/>
          <w:bCs/>
          <w:color w:val="0A1F33"/>
          <w:sz w:val="20"/>
          <w:szCs w:val="20"/>
        </w:rPr>
        <w:t xml:space="preserve">Tagline: </w:t>
      </w:r>
      <w:r>
        <w:rPr>
          <w:i/>
          <w:iCs/>
          <w:color w:val="0A1F33"/>
          <w:sz w:val="20"/>
          <w:szCs w:val="20"/>
        </w:rPr>
        <w:t xml:space="preserve">Extra capacity and ongoing care once your reporting is live.</w:t>
      </w:r>
    </w:p>
    <w:p>
      <w:pPr>
        <w:pStyle w:val="ListParagraph"/>
        <w:numPr>
          <w:ilvl w:val="0"/>
          <w:numId w:val="8"/>
        </w:numPr>
        <w:spacing w:after="120"/>
        <w:jc w:val="both"/>
      </w:pPr>
      <w:r>
        <w:rPr>
          <w:b/>
          <w:bCs/>
          <w:color w:val="0A1F33"/>
          <w:sz w:val="20"/>
          <w:szCs w:val="20"/>
        </w:rPr>
        <w:t xml:space="preserve">Specialists on demand</w:t>
      </w:r>
      <w:r>
        <w:rPr>
          <w:color w:val="0A1F33"/>
          <w:sz w:val="20"/>
          <w:szCs w:val="20"/>
        </w:rPr>
        <w:t xml:space="preserve">  -  </w:t>
      </w:r>
      <w:r>
        <w:rPr>
          <w:color w:val="0A1F33"/>
          <w:sz w:val="20"/>
          <w:szCs w:val="20"/>
        </w:rPr>
        <w:t xml:space="preserve">Our visualisation and data specialists work alongside your staff, project by project or on a retainer.</w:t>
      </w:r>
    </w:p>
    <w:p>
      <w:pPr>
        <w:pStyle w:val="ListParagraph"/>
        <w:numPr>
          <w:ilvl w:val="0"/>
          <w:numId w:val="8"/>
        </w:numPr>
        <w:spacing w:after="120"/>
        <w:jc w:val="both"/>
      </w:pPr>
      <w:r>
        <w:rPr>
          <w:b/>
          <w:bCs/>
          <w:color w:val="0A1F33"/>
          <w:sz w:val="20"/>
          <w:szCs w:val="20"/>
        </w:rPr>
        <w:t xml:space="preserve">Managed support</w:t>
      </w:r>
      <w:r>
        <w:rPr>
          <w:color w:val="0A1F33"/>
          <w:sz w:val="20"/>
          <w:szCs w:val="20"/>
        </w:rPr>
        <w:t xml:space="preserve">  -  </w:t>
      </w:r>
      <w:r>
        <w:rPr>
          <w:color w:val="0A1F33"/>
          <w:sz w:val="20"/>
          <w:szCs w:val="20"/>
        </w:rPr>
        <w:t xml:space="preserve">We monitor refreshes, resolve faults, run health checks, extend reporting when new questions arise and train new starters.</w:t>
      </w:r>
    </w:p>
    <w:p>
      <w:pPr>
        <w:spacing w:after="120"/>
      </w:pPr>
    </w:p>
    <w:p>
      <w:pPr>
        <w:pStyle w:val="Heading1"/>
        <w:keepNext/>
      </w:pPr>
      <w:r>
        <w:t xml:space="preserve">10. Why UAE Businesses Choose HLB HAMT</w:t>
      </w:r>
    </w:p>
    <w:p>
      <w:pPr>
        <w:pStyle w:val="ListParagraph"/>
        <w:numPr>
          <w:ilvl w:val="0"/>
          <w:numId w:val="2"/>
        </w:numPr>
        <w:spacing w:after="80"/>
        <w:jc w:val="both"/>
      </w:pPr>
      <w:r>
        <w:rPr>
          <w:b/>
          <w:bCs/>
          <w:color w:val="0A1F33"/>
          <w:sz w:val="20"/>
          <w:szCs w:val="20"/>
        </w:rPr>
        <w:t xml:space="preserve">Eyebrow: </w:t>
      </w:r>
      <w:r>
        <w:rPr>
          <w:color w:val="0A1F33"/>
          <w:sz w:val="20"/>
          <w:szCs w:val="20"/>
        </w:rPr>
        <w:t xml:space="preserve">HLB HAMT ADVANTAGE</w:t>
      </w:r>
    </w:p>
    <w:p>
      <w:pPr>
        <w:pStyle w:val="ListParagraph"/>
        <w:numPr>
          <w:ilvl w:val="0"/>
          <w:numId w:val="2"/>
        </w:numPr>
        <w:spacing w:after="80"/>
        <w:jc w:val="both"/>
      </w:pPr>
      <w:r>
        <w:rPr>
          <w:b/>
          <w:bCs/>
          <w:color w:val="0A1F33"/>
          <w:sz w:val="20"/>
          <w:szCs w:val="20"/>
        </w:rPr>
        <w:t xml:space="preserve">H2: </w:t>
      </w:r>
      <w:r>
        <w:rPr>
          <w:color w:val="0A1F33"/>
          <w:sz w:val="20"/>
          <w:szCs w:val="20"/>
        </w:rPr>
        <w:t xml:space="preserve">Why UAE Businesses Choose HLB HAMT for Data Visualisation Services</w:t>
      </w:r>
    </w:p>
    <w:p>
      <w:pPr>
        <w:pStyle w:val="ListParagraph"/>
        <w:numPr>
          <w:ilvl w:val="0"/>
          <w:numId w:val="2"/>
        </w:numPr>
        <w:spacing w:after="80"/>
        <w:jc w:val="both"/>
      </w:pPr>
      <w:r>
        <w:rPr>
          <w:b/>
          <w:bCs/>
          <w:color w:val="0A1F33"/>
          <w:sz w:val="20"/>
          <w:szCs w:val="20"/>
        </w:rPr>
        <w:t xml:space="preserve">Intro: </w:t>
      </w:r>
      <w:r>
        <w:rPr>
          <w:color w:val="0A1F33"/>
          <w:sz w:val="20"/>
          <w:szCs w:val="20"/>
        </w:rPr>
        <w:t xml:space="preserve">Our team judges its work by whether your people trust the figures and open the reports.</w:t>
      </w:r>
    </w:p>
    <w:p>
      <w:pPr>
        <w:keepNext/>
        <w:spacing w:after="80" w:before="60"/>
        <w:jc w:val="both"/>
      </w:pPr>
      <w:r>
        <w:rPr>
          <w:color w:val="0A1F33"/>
          <w:sz w:val="20"/>
          <w:szCs w:val="20"/>
        </w:rPr>
        <w:t xml:space="preserve">Six tiles (heading / copy):</w:t>
      </w:r>
    </w:p>
    <w:p>
      <w:pPr>
        <w:pStyle w:val="ListParagraph"/>
        <w:numPr>
          <w:ilvl w:val="0"/>
          <w:numId w:val="9"/>
        </w:numPr>
        <w:spacing w:after="120"/>
        <w:jc w:val="both"/>
      </w:pPr>
      <w:r>
        <w:rPr>
          <w:b/>
          <w:bCs/>
          <w:color w:val="0A1F33"/>
          <w:sz w:val="20"/>
          <w:szCs w:val="20"/>
        </w:rPr>
        <w:t xml:space="preserve">Numbers that reconcile</w:t>
      </w:r>
      <w:r>
        <w:rPr>
          <w:color w:val="0A1F33"/>
          <w:sz w:val="20"/>
          <w:szCs w:val="20"/>
        </w:rPr>
        <w:t xml:space="preserve">  -  </w:t>
      </w:r>
      <w:r>
        <w:rPr>
          <w:color w:val="0A1F33"/>
          <w:sz w:val="20"/>
          <w:szCs w:val="20"/>
        </w:rPr>
        <w:t xml:space="preserve">Accountants and engineers build each report together, so totals match your general ledger at month end.</w:t>
      </w:r>
    </w:p>
    <w:p>
      <w:pPr>
        <w:pStyle w:val="ListParagraph"/>
        <w:numPr>
          <w:ilvl w:val="0"/>
          <w:numId w:val="9"/>
        </w:numPr>
        <w:spacing w:after="120"/>
        <w:jc w:val="both"/>
      </w:pPr>
      <w:r>
        <w:rPr>
          <w:b/>
          <w:bCs/>
          <w:color w:val="0A1F33"/>
          <w:sz w:val="20"/>
          <w:szCs w:val="20"/>
        </w:rPr>
        <w:t xml:space="preserve">Modelling and design in one team</w:t>
      </w:r>
      <w:r>
        <w:rPr>
          <w:color w:val="0A1F33"/>
          <w:sz w:val="20"/>
          <w:szCs w:val="20"/>
        </w:rPr>
        <w:t xml:space="preserve">  -  </w:t>
      </w:r>
      <w:r>
        <w:rPr>
          <w:color w:val="0A1F33"/>
          <w:sz w:val="20"/>
          <w:szCs w:val="20"/>
        </w:rPr>
        <w:t xml:space="preserve">The people who structure your data also lay out the views, keeping intent intact from model to page.</w:t>
      </w:r>
    </w:p>
    <w:p>
      <w:pPr>
        <w:pStyle w:val="ListParagraph"/>
        <w:numPr>
          <w:ilvl w:val="0"/>
          <w:numId w:val="9"/>
        </w:numPr>
        <w:spacing w:after="120"/>
        <w:jc w:val="both"/>
      </w:pPr>
      <w:r>
        <w:rPr>
          <w:b/>
          <w:bCs/>
          <w:color w:val="0A1F33"/>
          <w:sz w:val="20"/>
          <w:szCs w:val="20"/>
        </w:rPr>
        <w:t xml:space="preserve">Designed for adoption</w:t>
      </w:r>
      <w:r>
        <w:rPr>
          <w:color w:val="0A1F33"/>
          <w:sz w:val="20"/>
          <w:szCs w:val="20"/>
        </w:rPr>
        <w:t xml:space="preserve">  -  </w:t>
      </w:r>
      <w:r>
        <w:rPr>
          <w:color w:val="0A1F33"/>
          <w:sz w:val="20"/>
          <w:szCs w:val="20"/>
        </w:rPr>
        <w:t xml:space="preserve">Layouts are tested with real users, so reports get opened, not archived.</w:t>
      </w:r>
    </w:p>
    <w:p>
      <w:pPr>
        <w:pStyle w:val="ListParagraph"/>
        <w:numPr>
          <w:ilvl w:val="0"/>
          <w:numId w:val="9"/>
        </w:numPr>
        <w:spacing w:after="120"/>
        <w:jc w:val="both"/>
      </w:pPr>
      <w:r>
        <w:rPr>
          <w:b/>
          <w:bCs/>
          <w:color w:val="0A1F33"/>
          <w:sz w:val="20"/>
          <w:szCs w:val="20"/>
        </w:rPr>
        <w:t xml:space="preserve">Secure by role</w:t>
      </w:r>
      <w:r>
        <w:rPr>
          <w:color w:val="0A1F33"/>
          <w:sz w:val="20"/>
          <w:szCs w:val="20"/>
        </w:rPr>
        <w:t xml:space="preserve">  -  </w:t>
      </w:r>
      <w:r>
        <w:rPr>
          <w:color w:val="0A1F33"/>
          <w:sz w:val="20"/>
          <w:szCs w:val="20"/>
        </w:rPr>
        <w:t xml:space="preserve">Each audience sees only the data it should, with access revisited whenever your organisation changes shape.</w:t>
      </w:r>
    </w:p>
    <w:p>
      <w:pPr>
        <w:pStyle w:val="ListParagraph"/>
        <w:numPr>
          <w:ilvl w:val="0"/>
          <w:numId w:val="9"/>
        </w:numPr>
        <w:spacing w:after="120"/>
        <w:jc w:val="both"/>
      </w:pPr>
      <w:r>
        <w:rPr>
          <w:b/>
          <w:bCs/>
          <w:color w:val="0A1F33"/>
          <w:sz w:val="20"/>
          <w:szCs w:val="20"/>
        </w:rPr>
        <w:t xml:space="preserve">One firm for Power BI, visualisation and analytics</w:t>
      </w:r>
      <w:r>
        <w:rPr>
          <w:color w:val="0A1F33"/>
          <w:sz w:val="20"/>
          <w:szCs w:val="20"/>
        </w:rPr>
        <w:t xml:space="preserve">  -  </w:t>
      </w:r>
      <w:r>
        <w:rPr>
          <w:color w:val="0A1F33"/>
          <w:sz w:val="20"/>
          <w:szCs w:val="20"/>
        </w:rPr>
        <w:t xml:space="preserve">Reporting today, with forecasting and prediction added from the same firm when your data is ready.</w:t>
      </w:r>
    </w:p>
    <w:p>
      <w:pPr>
        <w:pStyle w:val="ListParagraph"/>
        <w:numPr>
          <w:ilvl w:val="0"/>
          <w:numId w:val="9"/>
        </w:numPr>
        <w:spacing w:after="120"/>
        <w:jc w:val="both"/>
      </w:pPr>
      <w:r>
        <w:rPr>
          <w:b/>
          <w:bCs/>
          <w:color w:val="0A1F33"/>
          <w:sz w:val="20"/>
          <w:szCs w:val="20"/>
        </w:rPr>
        <w:t xml:space="preserve">Delivered from Dubai</w:t>
      </w:r>
      <w:r>
        <w:rPr>
          <w:color w:val="0A1F33"/>
          <w:sz w:val="20"/>
          <w:szCs w:val="20"/>
        </w:rPr>
        <w:t xml:space="preserve">  -  </w:t>
      </w:r>
      <w:r>
        <w:rPr>
          <w:color w:val="0A1F33"/>
          <w:sz w:val="20"/>
          <w:szCs w:val="20"/>
        </w:rPr>
        <w:t xml:space="preserve">Our consultants scope, build and support your reporting from Dubai, and meet your stakeholders in person.</w:t>
      </w:r>
    </w:p>
    <w:p>
      <w:pPr>
        <w:spacing w:after="120"/>
      </w:pPr>
    </w:p>
    <w:p>
      <w:pPr>
        <w:pStyle w:val="Heading1"/>
        <w:keepNext/>
      </w:pPr>
      <w:r>
        <w:t xml:space="preserve">11. See It in Action</w:t>
      </w:r>
    </w:p>
    <w:p>
      <w:pPr>
        <w:pStyle w:val="ListParagraph"/>
        <w:numPr>
          <w:ilvl w:val="0"/>
          <w:numId w:val="2"/>
        </w:numPr>
        <w:spacing w:after="80"/>
        <w:jc w:val="both"/>
      </w:pPr>
      <w:r>
        <w:rPr>
          <w:b/>
          <w:bCs/>
          <w:color w:val="0A1F33"/>
          <w:sz w:val="20"/>
          <w:szCs w:val="20"/>
        </w:rPr>
        <w:t xml:space="preserve">Eyebrow: </w:t>
      </w:r>
      <w:r>
        <w:rPr>
          <w:color w:val="0A1F33"/>
          <w:sz w:val="20"/>
          <w:szCs w:val="20"/>
        </w:rPr>
        <w:t xml:space="preserve">SEE IT IN ACTION</w:t>
      </w:r>
    </w:p>
    <w:p>
      <w:pPr>
        <w:pStyle w:val="ListParagraph"/>
        <w:numPr>
          <w:ilvl w:val="0"/>
          <w:numId w:val="2"/>
        </w:numPr>
        <w:spacing w:after="80"/>
        <w:jc w:val="both"/>
      </w:pPr>
      <w:r>
        <w:rPr>
          <w:b/>
          <w:bCs/>
          <w:color w:val="0A1F33"/>
          <w:sz w:val="20"/>
          <w:szCs w:val="20"/>
        </w:rPr>
        <w:t xml:space="preserve">H2: </w:t>
      </w:r>
      <w:r>
        <w:rPr>
          <w:color w:val="0A1F33"/>
          <w:sz w:val="20"/>
          <w:szCs w:val="20"/>
        </w:rPr>
        <w:t xml:space="preserve">Inside an HLB HAMT Executive Dashboard</w:t>
      </w:r>
    </w:p>
    <w:p>
      <w:pPr>
        <w:pStyle w:val="ListParagraph"/>
        <w:numPr>
          <w:ilvl w:val="0"/>
          <w:numId w:val="2"/>
        </w:numPr>
        <w:spacing w:after="80"/>
        <w:jc w:val="both"/>
      </w:pPr>
      <w:r>
        <w:rPr>
          <w:b/>
          <w:bCs/>
          <w:color w:val="0A1F33"/>
          <w:sz w:val="20"/>
          <w:szCs w:val="20"/>
        </w:rPr>
        <w:t xml:space="preserve">Body: </w:t>
      </w:r>
      <w:r>
        <w:rPr>
          <w:color w:val="0A1F33"/>
          <w:sz w:val="20"/>
          <w:szCs w:val="20"/>
        </w:rPr>
        <w:t xml:space="preserve">A sample executive view: group KPIs against target, with each figure opening onto the entity behind it and, from there, the individual transactions. Shown on illustrative data.</w:t>
      </w:r>
    </w:p>
    <w:p>
      <w:pPr>
        <w:pStyle w:val="ListParagraph"/>
        <w:numPr>
          <w:ilvl w:val="0"/>
          <w:numId w:val="2"/>
        </w:numPr>
        <w:spacing w:after="80"/>
        <w:jc w:val="both"/>
      </w:pPr>
      <w:r>
        <w:rPr>
          <w:b/>
          <w:bCs/>
          <w:color w:val="0A1F33"/>
          <w:sz w:val="20"/>
          <w:szCs w:val="20"/>
        </w:rPr>
        <w:t xml:space="preserve">Asset (placeholder): </w:t>
      </w:r>
      <w:r>
        <w:rPr>
          <w:color w:val="0A1F33"/>
          <w:sz w:val="20"/>
          <w:szCs w:val="20"/>
        </w:rPr>
        <w:t xml:space="preserve">Static executive-dashboard screenshot or GIF to be supplied (brief Section 10, point 8). No button.</w:t>
      </w:r>
    </w:p>
    <w:p>
      <w:pPr>
        <w:spacing w:after="120"/>
      </w:pPr>
    </w:p>
    <w:p>
      <w:pPr>
        <w:pStyle w:val="Heading1"/>
        <w:keepNext/>
      </w:pPr>
      <w:r>
        <w:t xml:space="preserve">12. Mid-page CTA 2</w:t>
      </w:r>
    </w:p>
    <w:p>
      <w:pPr>
        <w:pStyle w:val="ListParagraph"/>
        <w:numPr>
          <w:ilvl w:val="0"/>
          <w:numId w:val="2"/>
        </w:numPr>
        <w:spacing w:after="80"/>
        <w:jc w:val="both"/>
      </w:pPr>
      <w:r>
        <w:rPr>
          <w:b/>
          <w:bCs/>
          <w:color w:val="0A1F33"/>
          <w:sz w:val="20"/>
          <w:szCs w:val="20"/>
        </w:rPr>
        <w:t xml:space="preserve">H2: </w:t>
      </w:r>
      <w:r>
        <w:rPr>
          <w:color w:val="0A1F33"/>
          <w:sz w:val="20"/>
          <w:szCs w:val="20"/>
        </w:rPr>
        <w:t xml:space="preserve">Talk to Our Data Visualisation Experts in UAE</w:t>
      </w:r>
    </w:p>
    <w:p>
      <w:pPr>
        <w:pStyle w:val="ListParagraph"/>
        <w:numPr>
          <w:ilvl w:val="0"/>
          <w:numId w:val="2"/>
        </w:numPr>
        <w:spacing w:after="80"/>
        <w:jc w:val="both"/>
      </w:pPr>
      <w:r>
        <w:rPr>
          <w:b/>
          <w:bCs/>
          <w:color w:val="0A1F33"/>
          <w:sz w:val="20"/>
          <w:szCs w:val="20"/>
        </w:rPr>
        <w:t xml:space="preserve">Body: </w:t>
      </w:r>
      <w:r>
        <w:rPr>
          <w:color w:val="0A1F33"/>
          <w:sz w:val="20"/>
          <w:szCs w:val="20"/>
        </w:rPr>
        <w:t xml:space="preserve">Book a free consultation and we will map your audiences, KPIs and sources, then sketch the scope of a first build.</w:t>
      </w:r>
    </w:p>
    <w:p>
      <w:pPr>
        <w:pStyle w:val="ListParagraph"/>
        <w:numPr>
          <w:ilvl w:val="0"/>
          <w:numId w:val="2"/>
        </w:numPr>
        <w:spacing w:after="80"/>
        <w:jc w:val="both"/>
      </w:pPr>
      <w:r>
        <w:rPr>
          <w:b/>
          <w:bCs/>
          <w:color w:val="0A1F33"/>
          <w:sz w:val="20"/>
          <w:szCs w:val="20"/>
        </w:rPr>
        <w:t xml:space="preserve">Button: </w:t>
      </w:r>
      <w:r>
        <w:rPr>
          <w:color w:val="0A1F33"/>
          <w:sz w:val="20"/>
          <w:szCs w:val="20"/>
        </w:rPr>
        <w:t xml:space="preserve">Talk to our visualisation team (links to #contact)</w:t>
      </w:r>
    </w:p>
    <w:p>
      <w:pPr>
        <w:spacing w:after="120"/>
      </w:pPr>
    </w:p>
    <w:p>
      <w:pPr>
        <w:pStyle w:val="Heading1"/>
        <w:keepNext/>
      </w:pPr>
      <w:r>
        <w:t xml:space="preserve">13. FAQ</w:t>
      </w:r>
    </w:p>
    <w:p>
      <w:pPr>
        <w:pStyle w:val="ListParagraph"/>
        <w:numPr>
          <w:ilvl w:val="0"/>
          <w:numId w:val="2"/>
        </w:numPr>
        <w:spacing w:after="80"/>
        <w:jc w:val="both"/>
      </w:pPr>
      <w:r>
        <w:rPr>
          <w:b/>
          <w:bCs/>
          <w:color w:val="0A1F33"/>
          <w:sz w:val="20"/>
          <w:szCs w:val="20"/>
        </w:rPr>
        <w:t xml:space="preserve">Eyebrow: </w:t>
      </w:r>
      <w:r>
        <w:rPr>
          <w:color w:val="0A1F33"/>
          <w:sz w:val="20"/>
          <w:szCs w:val="20"/>
        </w:rPr>
        <w:t xml:space="preserve">COMMON QUESTIONS</w:t>
      </w:r>
    </w:p>
    <w:p>
      <w:pPr>
        <w:pStyle w:val="ListParagraph"/>
        <w:numPr>
          <w:ilvl w:val="0"/>
          <w:numId w:val="2"/>
        </w:numPr>
        <w:spacing w:after="80"/>
        <w:jc w:val="both"/>
      </w:pPr>
      <w:r>
        <w:rPr>
          <w:b/>
          <w:bCs/>
          <w:color w:val="0A1F33"/>
          <w:sz w:val="20"/>
          <w:szCs w:val="20"/>
        </w:rPr>
        <w:t xml:space="preserve">H2: </w:t>
      </w:r>
      <w:r>
        <w:rPr>
          <w:color w:val="0A1F33"/>
          <w:sz w:val="20"/>
          <w:szCs w:val="20"/>
        </w:rPr>
        <w:t xml:space="preserve">Your Questions About Data Visualisation Services in UAE</w:t>
      </w:r>
    </w:p>
    <w:p>
      <w:pPr>
        <w:keepNext/>
        <w:spacing w:after="80" w:before="60"/>
        <w:jc w:val="both"/>
      </w:pPr>
      <w:r>
        <w:rPr>
          <w:color w:val="0A1F33"/>
          <w:sz w:val="20"/>
          <w:szCs w:val="20"/>
        </w:rPr>
        <w:t xml:space="preserve">Single accordion, first item open. Nine questions:</w:t>
      </w:r>
    </w:p>
    <w:p>
      <w:pPr>
        <w:keepNext/>
        <w:spacing w:after="40" w:before="160"/>
        <w:jc w:val="both"/>
      </w:pPr>
      <w:r>
        <w:rPr>
          <w:b/>
          <w:bCs/>
          <w:color w:val="0A1F33"/>
          <w:sz w:val="20"/>
          <w:szCs w:val="20"/>
        </w:rPr>
        <w:t xml:space="preserve">Q: </w:t>
      </w:r>
      <w:r>
        <w:rPr>
          <w:b/>
          <w:bCs/>
          <w:color w:val="0A1F33"/>
          <w:sz w:val="20"/>
          <w:szCs w:val="20"/>
        </w:rPr>
        <w:t xml:space="preserve">What does data visualisation do for a business, and what does HLB HAMT deliver?</w:t>
      </w:r>
    </w:p>
    <w:p>
      <w:pPr>
        <w:spacing w:after="100"/>
        <w:jc w:val="both"/>
      </w:pPr>
      <w:r>
        <w:rPr>
          <w:color w:val="0A1F33"/>
          <w:sz w:val="20"/>
          <w:szCs w:val="20"/>
        </w:rPr>
        <w:t xml:space="preserve">Data visualisation is the design of charts, dashboards and interactive reports that make a large body of figures readable in minutes and open to follow-up questions. HLB HAMT delivers the whole chain behind that: agreed KPI definitions, prepared and governed data, designed and tested views, and training and support once they are live. The aim is reporting your people open daily and act on.</w:t>
      </w:r>
    </w:p>
    <w:p>
      <w:pPr>
        <w:keepNext/>
        <w:spacing w:after="40" w:before="160"/>
        <w:jc w:val="both"/>
      </w:pPr>
      <w:r>
        <w:rPr>
          <w:b/>
          <w:bCs/>
          <w:color w:val="0A1F33"/>
          <w:sz w:val="20"/>
          <w:szCs w:val="20"/>
        </w:rPr>
        <w:t xml:space="preserve">Q: </w:t>
      </w:r>
      <w:r>
        <w:rPr>
          <w:b/>
          <w:bCs/>
          <w:color w:val="0A1F33"/>
          <w:sz w:val="20"/>
          <w:szCs w:val="20"/>
        </w:rPr>
        <w:t xml:space="preserve">How is data visualisation different from data analytics?</w:t>
      </w:r>
    </w:p>
    <w:p>
      <w:pPr>
        <w:spacing w:after="100"/>
        <w:jc w:val="both"/>
      </w:pPr>
      <w:r>
        <w:rPr>
          <w:color w:val="0A1F33"/>
          <w:sz w:val="20"/>
          <w:szCs w:val="20"/>
        </w:rPr>
        <w:t xml:space="preserve">Analytics is the investigative work of testing and modelling data to explain a result. Visualisation is the presentation layer that turns those findings into pages a manager can act on. One without the other tends to stall. HLB HAMT offers both: we design and build the reporting, and our </w:t>
      </w:r>
      <w:hyperlink w:history="1" r:id="rIdbluecwoommw52cehcrk2n">
        <w:r>
          <w:rPr>
            <w:rStyle w:val="Hyperlink"/>
            <w:color w:val="10538F"/>
            <w:sz w:val="20"/>
            <w:szCs w:val="20"/>
          </w:rPr>
          <w:t xml:space="preserve">advanced analytics services</w:t>
        </w:r>
      </w:hyperlink>
      <w:r>
        <w:rPr>
          <w:color w:val="0A1F33"/>
          <w:sz w:val="20"/>
          <w:szCs w:val="20"/>
        </w:rPr>
        <w:t xml:space="preserve"> handle forecasting, prediction and segmentation. Both run on the same governed data.</w:t>
      </w:r>
    </w:p>
    <w:p>
      <w:pPr>
        <w:keepNext/>
        <w:spacing w:after="40" w:before="160"/>
        <w:jc w:val="both"/>
      </w:pPr>
      <w:r>
        <w:rPr>
          <w:b/>
          <w:bCs/>
          <w:color w:val="0A1F33"/>
          <w:sz w:val="20"/>
          <w:szCs w:val="20"/>
        </w:rPr>
        <w:t xml:space="preserve">Q: </w:t>
      </w:r>
      <w:r>
        <w:rPr>
          <w:b/>
          <w:bCs/>
          <w:color w:val="0A1F33"/>
          <w:sz w:val="20"/>
          <w:szCs w:val="20"/>
        </w:rPr>
        <w:t xml:space="preserve">Which data analytics and visualisation software do you work with?</w:t>
      </w:r>
    </w:p>
    <w:p>
      <w:pPr>
        <w:spacing w:after="100"/>
        <w:jc w:val="both"/>
      </w:pPr>
      <w:r>
        <w:rPr>
          <w:color w:val="0A1F33"/>
          <w:sz w:val="20"/>
          <w:szCs w:val="20"/>
        </w:rPr>
        <w:t xml:space="preserve">Our primary platform is Power BI, which we deliver through our dedicated </w:t>
      </w:r>
      <w:hyperlink w:history="1" r:id="rIdlqxvksl7ukc1udpwksvwb">
        <w:r>
          <w:rPr>
            <w:rStyle w:val="Hyperlink"/>
            <w:color w:val="10538F"/>
            <w:sz w:val="20"/>
            <w:szCs w:val="20"/>
          </w:rPr>
          <w:t xml:space="preserve">Power BI services</w:t>
        </w:r>
      </w:hyperlink>
      <w:r>
        <w:rPr>
          <w:color w:val="0A1F33"/>
          <w:sz w:val="20"/>
          <w:szCs w:val="20"/>
        </w:rPr>
        <w:t xml:space="preserve">. As a reselling partner, we can also supply the licences you need, sized to the number and type of users. If your reporting currently runs on another tool, we migrate it and preserve the business rules behind it. Where a requirement calls for something different, we say so during the first stage.</w:t>
      </w:r>
    </w:p>
    <w:p>
      <w:pPr>
        <w:keepNext/>
        <w:spacing w:after="40" w:before="160"/>
        <w:jc w:val="both"/>
      </w:pPr>
      <w:r>
        <w:rPr>
          <w:b/>
          <w:bCs/>
          <w:color w:val="0A1F33"/>
          <w:sz w:val="20"/>
          <w:szCs w:val="20"/>
        </w:rPr>
        <w:t xml:space="preserve">Q: </w:t>
      </w:r>
      <w:r>
        <w:rPr>
          <w:b/>
          <w:bCs/>
          <w:color w:val="0A1F33"/>
          <w:sz w:val="20"/>
          <w:szCs w:val="20"/>
        </w:rPr>
        <w:t xml:space="preserve">How long does it take to build a dashboard?</w:t>
      </w:r>
    </w:p>
    <w:p>
      <w:pPr>
        <w:spacing w:after="100"/>
        <w:jc w:val="both"/>
      </w:pPr>
      <w:r>
        <w:rPr>
          <w:color w:val="0A1F33"/>
          <w:sz w:val="20"/>
          <w:szCs w:val="20"/>
        </w:rPr>
        <w:t xml:space="preserve">It depends on scope. A single department usually takes two to four weeks, a multi-department rollout six to ten weeks, and an enterprise-scale programme three to six months. Within the first two weeks, you normally have a working prototype on your own data to review. We commit to dates at the end of the dashboard review, when we have seen your reports, sources and KPIs first-hand.</w:t>
      </w:r>
    </w:p>
    <w:p>
      <w:pPr>
        <w:keepNext/>
        <w:spacing w:after="40" w:before="160"/>
        <w:jc w:val="both"/>
      </w:pPr>
      <w:r>
        <w:rPr>
          <w:b/>
          <w:bCs/>
          <w:color w:val="0A1F33"/>
          <w:sz w:val="20"/>
          <w:szCs w:val="20"/>
        </w:rPr>
        <w:t xml:space="preserve">Q: </w:t>
      </w:r>
      <w:r>
        <w:rPr>
          <w:b/>
          <w:bCs/>
          <w:color w:val="0A1F33"/>
          <w:sz w:val="20"/>
          <w:szCs w:val="20"/>
        </w:rPr>
        <w:t xml:space="preserve">Can you bring data from several disconnected systems into one dashboard?</w:t>
      </w:r>
    </w:p>
    <w:p>
      <w:pPr>
        <w:spacing w:after="100"/>
        <w:jc w:val="both"/>
      </w:pPr>
      <w:r>
        <w:rPr>
          <w:color w:val="0A1F33"/>
          <w:sz w:val="20"/>
          <w:szCs w:val="20"/>
        </w:rPr>
        <w:t xml:space="preserve">Yes. We regularly combine ERP, CRM, finance and HR systems with databases, spreadsheets, cloud applications and APIs. Automated pipelines pull from each source on a schedule, match records that describe the same customer, product or entity, and load them into one model. Reports then read from that model, so a figure shown in two places is calculated once.</w:t>
      </w:r>
    </w:p>
    <w:p>
      <w:pPr>
        <w:keepNext/>
        <w:spacing w:after="40" w:before="160"/>
        <w:jc w:val="both"/>
      </w:pPr>
      <w:r>
        <w:rPr>
          <w:b/>
          <w:bCs/>
          <w:color w:val="0A1F33"/>
          <w:sz w:val="20"/>
          <w:szCs w:val="20"/>
        </w:rPr>
        <w:t xml:space="preserve">Q: </w:t>
      </w:r>
      <w:r>
        <w:rPr>
          <w:b/>
          <w:bCs/>
          <w:color w:val="0A1F33"/>
          <w:sz w:val="20"/>
          <w:szCs w:val="20"/>
        </w:rPr>
        <w:t xml:space="preserve">How do you keep dashboards accurate and secure?</w:t>
      </w:r>
    </w:p>
    <w:p>
      <w:pPr>
        <w:spacing w:after="100"/>
        <w:jc w:val="both"/>
      </w:pPr>
      <w:r>
        <w:rPr>
          <w:color w:val="0A1F33"/>
          <w:sz w:val="20"/>
          <w:szCs w:val="20"/>
        </w:rPr>
        <w:t xml:space="preserve">We build accuracy checks into every stage: each figure is validated against its source, reconciliation tests run on every refresh, and an owner is alerted if a scheduled refresh fails. Row-level security limits each user to the records their role permits. Where reports show personal data, our </w:t>
      </w:r>
      <w:hyperlink w:history="1" r:id="rIdsahtbmtuevw-mfhv0pl4e">
        <w:r>
          <w:rPr>
            <w:rStyle w:val="Hyperlink"/>
            <w:color w:val="10538F"/>
            <w:sz w:val="20"/>
            <w:szCs w:val="20"/>
          </w:rPr>
          <w:t xml:space="preserve">data protection advisory</w:t>
        </w:r>
      </w:hyperlink>
      <w:r>
        <w:rPr>
          <w:color w:val="0A1F33"/>
          <w:sz w:val="20"/>
          <w:szCs w:val="20"/>
        </w:rPr>
        <w:t xml:space="preserve"> team helps us design them in line with the UAE Personal Data Protection Law, Federal Decree-Law No. 45 of 2021.</w:t>
      </w:r>
      <w:r>
        <w:rPr>
          <w:color w:val="0A1F33"/>
          <w:sz w:val="20"/>
          <w:szCs w:val="20"/>
          <w:vertAlign w:val="superscript"/>
        </w:rPr>
        <w:t xml:space="preserve">4</w:t>
      </w:r>
    </w:p>
    <w:p>
      <w:pPr>
        <w:keepNext/>
        <w:spacing w:after="40" w:before="160"/>
        <w:jc w:val="both"/>
      </w:pPr>
      <w:r>
        <w:rPr>
          <w:b/>
          <w:bCs/>
          <w:color w:val="0A1F33"/>
          <w:sz w:val="20"/>
          <w:szCs w:val="20"/>
        </w:rPr>
        <w:t xml:space="preserve">Q: </w:t>
      </w:r>
      <w:r>
        <w:rPr>
          <w:b/>
          <w:bCs/>
          <w:color w:val="0A1F33"/>
          <w:sz w:val="20"/>
          <w:szCs w:val="20"/>
        </w:rPr>
        <w:t xml:space="preserve">What return can we expect from investing in data visualisation?</w:t>
      </w:r>
    </w:p>
    <w:p>
      <w:pPr>
        <w:spacing w:after="100"/>
        <w:jc w:val="both"/>
      </w:pPr>
      <w:r>
        <w:rPr>
          <w:color w:val="0A1F33"/>
          <w:sz w:val="20"/>
          <w:szCs w:val="20"/>
        </w:rPr>
        <w:t xml:space="preserve">The gains are practical: less time spent assembling reports by hand, quicker decisions, one agreed set of figures in every meeting and earlier sight of cost and revenue movements. We do not quote a blanket percentage, because the return depends on your starting point. Instead, we </w:t>
      </w:r>
      <w:r>
        <w:rPr>
          <w:color w:val="0A1F33"/>
          <w:sz w:val="20"/>
          <w:szCs w:val="20"/>
          <w:u w:val="single" w:color="0A1F33"/>
        </w:rPr>
        <w:t xml:space="preserve">agree the measures</w:t>
      </w:r>
      <w:r>
        <w:rPr>
          <w:color w:val="0A1F33"/>
          <w:sz w:val="20"/>
          <w:szCs w:val="20"/>
        </w:rPr>
        <w:t xml:space="preserve"> with you at the outset and report against them after launch.</w:t>
      </w:r>
    </w:p>
    <w:p>
      <w:pPr>
        <w:keepNext/>
        <w:spacing w:after="40" w:before="160"/>
        <w:jc w:val="both"/>
      </w:pPr>
      <w:r>
        <w:rPr>
          <w:b/>
          <w:bCs/>
          <w:color w:val="0A1F33"/>
          <w:sz w:val="20"/>
          <w:szCs w:val="20"/>
        </w:rPr>
        <w:t xml:space="preserve">Q: </w:t>
      </w:r>
      <w:r>
        <w:rPr>
          <w:b/>
          <w:bCs/>
          <w:color w:val="0A1F33"/>
          <w:sz w:val="20"/>
          <w:szCs w:val="20"/>
        </w:rPr>
        <w:t xml:space="preserve">Can you improve the dashboards we already have?</w:t>
      </w:r>
    </w:p>
    <w:p>
      <w:pPr>
        <w:spacing w:after="100"/>
        <w:jc w:val="both"/>
      </w:pPr>
      <w:r>
        <w:rPr>
          <w:color w:val="0A1F33"/>
          <w:sz w:val="20"/>
          <w:szCs w:val="20"/>
        </w:rPr>
        <w:t xml:space="preserve">Yes. When existing reports go unused, the cause is usually clarity: unclear KPIs, too many visuals on one page or no obvious starting point. Slowness tends to follow from unmodelled data and heavy calculations. We review how each report is used, redesign pages around the questions people actually ask, then tune the model behind them until they load quickly.</w:t>
      </w:r>
    </w:p>
    <w:p>
      <w:pPr>
        <w:keepNext/>
        <w:spacing w:after="40" w:before="160"/>
        <w:jc w:val="both"/>
      </w:pPr>
      <w:r>
        <w:rPr>
          <w:b/>
          <w:bCs/>
          <w:color w:val="0A1F33"/>
          <w:sz w:val="20"/>
          <w:szCs w:val="20"/>
        </w:rPr>
        <w:t xml:space="preserve">Q: </w:t>
      </w:r>
      <w:r>
        <w:rPr>
          <w:b/>
          <w:bCs/>
          <w:color w:val="0A1F33"/>
          <w:sz w:val="20"/>
          <w:szCs w:val="20"/>
        </w:rPr>
        <w:t xml:space="preserve">Can you move our reports from another tool without losing business logic?</w:t>
      </w:r>
    </w:p>
    <w:p>
      <w:pPr>
        <w:spacing w:after="100"/>
        <w:jc w:val="both"/>
      </w:pPr>
      <w:r>
        <w:rPr>
          <w:color w:val="0A1F33"/>
          <w:sz w:val="20"/>
          <w:szCs w:val="20"/>
        </w:rPr>
        <w:t xml:space="preserve">Yes. We start with an inventory of every report, measure and definition you have today, then map each calculation to its new form. Rebuilt reports run alongside the originals, and we reconcile the two until the outputs match before anyone switches over. Your users are trained on the new layouts, and the old tool can be retired once you are satisfied.</w:t>
      </w:r>
    </w:p>
    <w:p>
      <w:pPr>
        <w:pStyle w:val="Heading2"/>
        <w:keepNext/>
      </w:pPr>
      <w:r>
        <w:t xml:space="preserve">Sources</w:t>
      </w:r>
    </w:p>
    <w:p>
      <w:pPr>
        <w:pStyle w:val="ListParagraph"/>
        <w:numPr>
          <w:ilvl w:val="0"/>
          <w:numId w:val="10"/>
        </w:numPr>
        <w:spacing w:after="40"/>
      </w:pPr>
      <w:hyperlink w:history="1" r:id="rIdg_dbpadxs7psiajrm-hyw">
        <w:r>
          <w:rPr>
            <w:rStyle w:val="Hyperlink"/>
            <w:color w:val="10538F"/>
            <w:sz w:val="17"/>
            <w:szCs w:val="17"/>
          </w:rPr>
          <w:t xml:space="preserve">UAE Government portal, "Global digital competitiveness" (updated 25 Nov 2025)</w:t>
        </w:r>
      </w:hyperlink>
      <w:r>
        <w:rPr>
          <w:color w:val="0A1F33"/>
          <w:sz w:val="17"/>
          <w:szCs w:val="17"/>
        </w:rPr>
        <w:t xml:space="preserve">.</w:t>
      </w:r>
    </w:p>
    <w:p>
      <w:pPr>
        <w:pStyle w:val="ListParagraph"/>
        <w:numPr>
          <w:ilvl w:val="0"/>
          <w:numId w:val="10"/>
        </w:numPr>
        <w:spacing w:after="40"/>
      </w:pPr>
      <w:hyperlink w:history="1" r:id="rIdy4d69z149jzdkatx4lszq">
        <w:r>
          <w:rPr>
            <w:rStyle w:val="Hyperlink"/>
            <w:color w:val="10538F"/>
            <w:sz w:val="17"/>
            <w:szCs w:val="17"/>
          </w:rPr>
          <w:t xml:space="preserve">BARC, "BARC publishes the Data, BI and Analytics Trend Monitor 2026" (12 Nov 2025)</w:t>
        </w:r>
      </w:hyperlink>
      <w:r>
        <w:rPr>
          <w:color w:val="0A1F33"/>
          <w:sz w:val="17"/>
          <w:szCs w:val="17"/>
        </w:rPr>
        <w:t xml:space="preserve">.</w:t>
      </w:r>
    </w:p>
    <w:p>
      <w:pPr>
        <w:pStyle w:val="ListParagraph"/>
        <w:numPr>
          <w:ilvl w:val="0"/>
          <w:numId w:val="10"/>
        </w:numPr>
        <w:spacing w:after="40"/>
      </w:pPr>
      <w:hyperlink w:history="1" r:id="rId6b_zbvqeb3-_1vufye2nm">
        <w:r>
          <w:rPr>
            <w:rStyle w:val="Hyperlink"/>
            <w:color w:val="10538F"/>
            <w:sz w:val="17"/>
            <w:szCs w:val="17"/>
          </w:rPr>
          <w:t xml:space="preserve">Gartner, "Gartner Survey Finds One-Third of CDAOs Cite Measuring Data, Analytics and AI Impact as Top Challenge" (20 Feb 2025)</w:t>
        </w:r>
      </w:hyperlink>
      <w:r>
        <w:rPr>
          <w:color w:val="0A1F33"/>
          <w:sz w:val="17"/>
          <w:szCs w:val="17"/>
        </w:rPr>
        <w:t xml:space="preserve"> (corroborated by </w:t>
      </w:r>
      <w:hyperlink w:history="1" r:id="rId7cvap9epiql8ffpvgafwh">
        <w:r>
          <w:rPr>
            <w:rStyle w:val="Hyperlink"/>
            <w:color w:val="10538F"/>
            <w:sz w:val="17"/>
            <w:szCs w:val="17"/>
          </w:rPr>
          <w:t xml:space="preserve">BigDATAwire</w:t>
        </w:r>
      </w:hyperlink>
      <w:r>
        <w:rPr>
          <w:color w:val="0A1F33"/>
          <w:sz w:val="17"/>
          <w:szCs w:val="17"/>
        </w:rPr>
        <w:t xml:space="preserve">)</w:t>
      </w:r>
      <w:r>
        <w:rPr>
          <w:color w:val="0A1F33"/>
          <w:sz w:val="17"/>
          <w:szCs w:val="17"/>
        </w:rPr>
        <w:t xml:space="preserve">.</w:t>
      </w:r>
    </w:p>
    <w:p>
      <w:pPr>
        <w:pStyle w:val="ListParagraph"/>
        <w:numPr>
          <w:ilvl w:val="0"/>
          <w:numId w:val="10"/>
        </w:numPr>
        <w:spacing w:after="40"/>
      </w:pPr>
      <w:hyperlink w:history="1" r:id="rIdg738kghxa0zsldtsorluy">
        <w:r>
          <w:rPr>
            <w:rStyle w:val="Hyperlink"/>
            <w:color w:val="10538F"/>
            <w:sz w:val="17"/>
            <w:szCs w:val="17"/>
          </w:rPr>
          <w:t xml:space="preserve">UAE Government portal, "Data protection laws"</w:t>
        </w:r>
      </w:hyperlink>
      <w:r>
        <w:rPr>
          <w:color w:val="0A1F33"/>
          <w:sz w:val="17"/>
          <w:szCs w:val="17"/>
        </w:rPr>
        <w:t xml:space="preserve">.</w:t>
      </w:r>
    </w:p>
    <w:p>
      <w:pPr>
        <w:spacing w:after="120"/>
      </w:pPr>
    </w:p>
    <w:p>
      <w:pPr>
        <w:pStyle w:val="Heading1"/>
        <w:keepNext/>
      </w:pPr>
      <w:r>
        <w:t xml:space="preserve">14. Contact CTA and Form</w:t>
      </w:r>
    </w:p>
    <w:p>
      <w:pPr>
        <w:pStyle w:val="ListParagraph"/>
        <w:numPr>
          <w:ilvl w:val="0"/>
          <w:numId w:val="2"/>
        </w:numPr>
        <w:spacing w:after="80"/>
        <w:jc w:val="both"/>
      </w:pPr>
      <w:r>
        <w:rPr>
          <w:b/>
          <w:bCs/>
          <w:color w:val="0A1F33"/>
          <w:sz w:val="20"/>
          <w:szCs w:val="20"/>
        </w:rPr>
        <w:t xml:space="preserve">H2: </w:t>
      </w:r>
      <w:r>
        <w:rPr>
          <w:color w:val="0A1F33"/>
          <w:sz w:val="20"/>
          <w:szCs w:val="20"/>
        </w:rPr>
        <w:t xml:space="preserve">Book Your Free Dashboard Consultation</w:t>
      </w:r>
    </w:p>
    <w:p>
      <w:pPr>
        <w:pStyle w:val="ListParagraph"/>
        <w:numPr>
          <w:ilvl w:val="0"/>
          <w:numId w:val="2"/>
        </w:numPr>
        <w:spacing w:after="80"/>
        <w:jc w:val="both"/>
      </w:pPr>
      <w:r>
        <w:rPr>
          <w:b/>
          <w:bCs/>
          <w:color w:val="0A1F33"/>
          <w:sz w:val="20"/>
          <w:szCs w:val="20"/>
        </w:rPr>
        <w:t xml:space="preserve">Body: </w:t>
      </w:r>
      <w:r>
        <w:rPr>
          <w:color w:val="0A1F33"/>
          <w:sz w:val="20"/>
          <w:szCs w:val="20"/>
        </w:rPr>
        <w:t xml:space="preserve">Tell us which decisions need better figures, and our visualisation team will reply within one business day.</w:t>
      </w:r>
    </w:p>
    <w:p>
      <w:pPr>
        <w:pStyle w:val="ListParagraph"/>
        <w:numPr>
          <w:ilvl w:val="0"/>
          <w:numId w:val="2"/>
        </w:numPr>
        <w:spacing w:after="80"/>
        <w:jc w:val="both"/>
      </w:pPr>
      <w:r>
        <w:rPr>
          <w:b/>
          <w:bCs/>
          <w:color w:val="0A1F33"/>
          <w:sz w:val="20"/>
          <w:szCs w:val="20"/>
        </w:rPr>
        <w:t xml:space="preserve">Form: </w:t>
      </w:r>
      <w:r>
        <w:rPr>
          <w:color w:val="0A1F33"/>
          <w:sz w:val="20"/>
          <w:szCs w:val="20"/>
        </w:rPr>
        <w:t xml:space="preserve">Site-standard "Let's Connect" component. Fields: Your name · Email address · Phone number · Location · Select your Services · Your message. "Select your Services" default: Technology Consulting.</w:t>
      </w:r>
    </w:p>
    <w:p>
      <w:pPr>
        <w:pStyle w:val="ListParagraph"/>
        <w:numPr>
          <w:ilvl w:val="0"/>
          <w:numId w:val="2"/>
        </w:numPr>
        <w:spacing w:after="80"/>
        <w:jc w:val="both"/>
      </w:pPr>
      <w:r>
        <w:rPr>
          <w:b/>
          <w:bCs/>
          <w:color w:val="0A1F33"/>
          <w:sz w:val="20"/>
          <w:szCs w:val="20"/>
        </w:rPr>
        <w:t xml:space="preserve">Button: </w:t>
      </w:r>
      <w:r>
        <w:rPr>
          <w:color w:val="0A1F33"/>
          <w:sz w:val="20"/>
          <w:szCs w:val="20"/>
        </w:rPr>
        <w:t xml:space="preserve">Schedule a Consultation (form submit)</w:t>
      </w:r>
    </w:p>
    <w:p>
      <w:pPr>
        <w:spacing w:after="120"/>
      </w:pPr>
    </w:p>
    <w:p>
      <w:pPr>
        <w:pStyle w:val="Heading1"/>
        <w:keepNext/>
      </w:pPr>
      <w:r>
        <w:t xml:space="preserve">15. Footer</w:t>
      </w:r>
    </w:p>
    <w:p>
      <w:pPr>
        <w:pStyle w:val="ListParagraph"/>
        <w:numPr>
          <w:ilvl w:val="0"/>
          <w:numId w:val="2"/>
        </w:numPr>
        <w:spacing w:after="80"/>
        <w:jc w:val="both"/>
      </w:pPr>
      <w:r>
        <w:rPr>
          <w:b/>
          <w:bCs/>
          <w:color w:val="0A1F33"/>
          <w:sz w:val="20"/>
          <w:szCs w:val="20"/>
        </w:rPr>
        <w:t xml:space="preserve">Footer: </w:t>
      </w:r>
      <w:r>
        <w:rPr>
          <w:color w:val="0A1F33"/>
          <w:sz w:val="20"/>
          <w:szCs w:val="20"/>
        </w:rPr>
        <w:t xml:space="preserve">Global site footer. No new copy.</w:t>
      </w:r>
    </w:p>
    <w:sectPr>
      <w:pgSz w:w="12240" w:h="15840" w:orient="portrait"/>
      <w:pgMar w:top="1008" w:right="1152" w:bottom="1008"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32" w:hanging="216"/>
      </w:pPr>
      <w:rPr>
        <w:rFonts w:ascii="Arial" w:cs="Arial" w:eastAsia="Arial" w:hAnsi="Arial"/>
        <w:color w:val="0A1F33"/>
        <w:sz w:val="20"/>
        <w:szCs w:val="20"/>
      </w:rPr>
    </w:lvl>
    <w:lvl w:ilvl="1" w:tentative="1">
      <w:start w:val="1"/>
      <w:numFmt w:val="bullet"/>
      <w:lvlText w:val="○"/>
      <w:lvlJc w:val="left"/>
      <w:pPr>
        <w:ind w:left="864" w:hanging="216"/>
      </w:pPr>
      <w:rPr>
        <w:rFonts w:ascii="Arial" w:cs="Arial" w:eastAsia="Arial" w:hAnsi="Arial"/>
        <w:color w:val="0A1F33"/>
        <w:sz w:val="20"/>
        <w:szCs w:val="20"/>
      </w:rPr>
    </w:lvl>
  </w:abstractNum>
  <w:abstractNum w:abstractNumId="3" w15:restartNumberingAfterBreak="0">
    <w:multiLevelType w:val="hybridMultilevel"/>
    <w:lvl w:ilvl="0" w:tentative="1">
      <w:start w:val="1"/>
      <w:numFmt w:val="decimal"/>
      <w:suff w:val="space"/>
      <w:lvlText w:val="%1."/>
      <w:lvlJc w:val="left"/>
      <w:pPr>
        <w:ind w:left="216" w:hanging="0"/>
      </w:pPr>
      <w:rPr>
        <w:rFonts w:ascii="Arial" w:cs="Arial" w:eastAsia="Arial" w:hAnsi="Arial"/>
        <w:b/>
        <w:bCs/>
        <w:color w:val="0A1F33"/>
        <w:sz w:val="20"/>
        <w:szCs w:val="20"/>
      </w:rPr>
    </w:lvl>
  </w:abstractNum>
  <w:abstractNum w:abstractNumId="4" w15:restartNumberingAfterBreak="0">
    <w:multiLevelType w:val="hybridMultilevel"/>
    <w:lvl w:ilvl="0" w:tentative="1">
      <w:start w:val="1"/>
      <w:numFmt w:val="decimal"/>
      <w:lvlText w:val="%1."/>
      <w:lvlJc w:val="left"/>
      <w:pPr>
        <w:ind w:left="360" w:hanging="360"/>
      </w:pPr>
      <w:rPr>
        <w:color w:val="0A1F33"/>
        <w:sz w:val="17"/>
        <w:szCs w:val="17"/>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1F33"/>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left"/>
    </w:pPr>
    <w:rPr>
      <w:rFonts w:ascii="Arial" w:cs="Arial" w:eastAsia="Arial" w:hAnsi="Arial"/>
      <w:b/>
      <w:bCs/>
      <w:color w:val="10538F"/>
      <w:sz w:val="40"/>
      <w:szCs w:val="40"/>
    </w:rPr>
  </w:style>
  <w:style w:type="paragraph" w:styleId="Heading1">
    <w:name w:val="Heading 1"/>
    <w:basedOn w:val="Normal"/>
    <w:next w:val="Normal"/>
    <w:qFormat/>
    <w:pPr>
      <w:pBdr>
        <w:bottom w:val="single" w:color="B8761C" w:sz="12" w:space="1"/>
      </w:pBdr>
      <w:spacing w:after="80" w:before="320"/>
      <w:outlineLvl w:val="0"/>
    </w:pPr>
    <w:rPr>
      <w:rFonts w:ascii="Arial" w:cs="Arial" w:eastAsia="Arial" w:hAnsi="Arial"/>
      <w:b/>
      <w:bCs/>
      <w:color w:val="10538F"/>
      <w:sz w:val="30"/>
      <w:szCs w:val="30"/>
    </w:rPr>
  </w:style>
  <w:style w:type="paragraph" w:styleId="Heading2">
    <w:name w:val="Heading 2"/>
    <w:basedOn w:val="Normal"/>
    <w:next w:val="Normal"/>
    <w:qFormat/>
    <w:pPr>
      <w:spacing w:after="60" w:before="160"/>
      <w:outlineLvl w:val="1"/>
    </w:pPr>
    <w:rPr>
      <w:rFonts w:ascii="Arial" w:cs="Arial" w:eastAsia="Arial" w:hAnsi="Arial"/>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bcnpfixwfowrwe8rm4nig" Type="http://schemas.openxmlformats.org/officeDocument/2006/relationships/hyperlink" Target="https://u.ae/en/about-the-uae/uae-competitiveness/global-digital-competitiveness" TargetMode="External"/><Relationship Id="rIdfiafxtke_bpxir8ppewel" Type="http://schemas.openxmlformats.org/officeDocument/2006/relationships/hyperlink" Target="https://hlbhamt.com/services/digital-transformation-uae/" TargetMode="External"/><Relationship Id="rId4jiz3daonzsd089ty-rje" Type="http://schemas.openxmlformats.org/officeDocument/2006/relationships/hyperlink" Target="https://hlbhamt.com/sugarai-crm-2/" TargetMode="External"/><Relationship Id="rIdbluecwoommw52cehcrk2n" Type="http://schemas.openxmlformats.org/officeDocument/2006/relationships/hyperlink" Target="https://hlbhamt.com/services/advanced-data-analytics-uae/" TargetMode="External"/><Relationship Id="rIdlqxvksl7ukc1udpwksvwb" Type="http://schemas.openxmlformats.org/officeDocument/2006/relationships/hyperlink" Target="https://hlbhamt.com/services/power-bi-partner-in-dubai-uae/" TargetMode="External"/><Relationship Id="rIdsahtbmtuevw-mfhv0pl4e" Type="http://schemas.openxmlformats.org/officeDocument/2006/relationships/hyperlink" Target="https://hlbhamt.com/services/data-privacy-and-security-uae/" TargetMode="External"/><Relationship Id="rIdg_dbpadxs7psiajrm-hyw" Type="http://schemas.openxmlformats.org/officeDocument/2006/relationships/hyperlink" Target="https://u.ae/en/about-the-uae/uae-competitiveness/global-digital-competitiveness" TargetMode="External"/><Relationship Id="rIdy4d69z149jzdkatx4lszq" Type="http://schemas.openxmlformats.org/officeDocument/2006/relationships/hyperlink" Target="https://barc.com/news/barc-publishes-the-data-bi-and-analytics-trend-monitor-2026/" TargetMode="External"/><Relationship Id="rId6b_zbvqeb3-_1vufye2nm" Type="http://schemas.openxmlformats.org/officeDocument/2006/relationships/hyperlink" Target="https://www.gartner.com/en/newsroom/press-releases/2025-02-20-gartner-survey-finds-one-third-of-cdaos-cite-measuring-data-analytics-and-ai-impact-as-top-challenge" TargetMode="External"/><Relationship Id="rId7cvap9epiql8ffpvgafwh" Type="http://schemas.openxmlformats.org/officeDocument/2006/relationships/hyperlink" Target="https://bigdatawire.com/2025/02/24/cdoas-are-struggling-to-measure-data-analytics-and-ai-impact-gartner-report" TargetMode="External"/><Relationship Id="rIdg738kghxa0zsldtsorluy" Type="http://schemas.openxmlformats.org/officeDocument/2006/relationships/hyperlink" Target="https://u.ae/en/about-the-uae/digital-uae/data/data-protection-laws"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Visualization Services in UAE &amp; Dashboards | HLB HAMT</dc:title>
  <dc:creator>HLB HAMT</dc:creator>
  <dc:description>Data visualization services in UAE from HLB HAMT: KPI design, data preparation, interactive dashboards and enterprise reports your finance team can trust.</dc:description>
  <cp:lastModifiedBy>Un-named</cp:lastModifiedBy>
  <cp:revision>1</cp:revision>
  <dcterms:created xsi:type="dcterms:W3CDTF">2026-09-30T05:56:45.234Z</dcterms:created>
  <dcterms:modified xsi:type="dcterms:W3CDTF">2026-09-30T05:56:45.234Z</dcterms:modified>
</cp:coreProperties>
</file>

<file path=docProps/custom.xml><?xml version="1.0" encoding="utf-8"?>
<Properties xmlns="http://schemas.openxmlformats.org/officeDocument/2006/custom-properties" xmlns:vt="http://schemas.openxmlformats.org/officeDocument/2006/docPropsVTypes"/>
</file>