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Power BI Services Homepage</w:t>
      </w:r>
    </w:p>
    <w:p>
      <w:pPr>
        <w:pStyle w:val="Subtitle"/>
      </w:pPr>
      <w:r>
        <w:t xml:space="preserve">Final page copy for HLB HAMT  |  working file name: power-bi-services-homepage</w:t>
      </w:r>
    </w:p>
    <w:p>
      <w:pPr>
        <w:pStyle w:val="Note"/>
        <w:spacing w:after="200"/>
      </w:pPr>
      <w:r>
        <w:t xml:space="preserve">Prepared 29 September 2026 from the approved draft (draft-v8.md, Test PASS in test-report-v8.md; Revision 4 correction). Replaces the earlier 29 September delivery built from draft-v7.md. Grey section bars, "Button:" lines and labels are production notes for the web team; everything else is page copy, in page order. Footnote numbers follow order of appearance on the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D1D5DB" w:sz="4"/>
              <w:left w:val="single" w:color="D1D5DB" w:sz="4"/>
              <w:bottom w:val="single" w:color="D1D5DB" w:sz="4"/>
              <w:right w:val="single" w:color="D1D5DB" w:sz="4"/>
            </w:tcBorders>
            <w:shd w:fill="EEF4F6" w:color="auto" w:val="clear"/>
            <w:tcMar>
              <w:top w:type="dxa" w:w="60"/>
              <w:left w:type="dxa" w:w="100"/>
              <w:bottom w:type="dxa" w:w="60"/>
              <w:right w:type="dxa" w:w="100"/>
            </w:tcMar>
          </w:tcPr>
          <w:p>
            <w:pPr>
              <w:spacing w:after="20" w:line="240" w:lineRule="auto"/>
            </w:pPr>
            <w:r>
              <w:rPr>
                <w:b/>
                <w:bCs/>
                <w:sz w:val="17"/>
                <w:szCs w:val="17"/>
              </w:rPr>
              <w:t xml:space="preserve">Meta title</w:t>
            </w:r>
          </w:p>
        </w:tc>
        <w:tc>
          <w:tcPr>
            <w:tcW w:type="dxa" w:w="6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40" w:lineRule="auto"/>
            </w:pPr>
            <w:r>
              <w:rPr>
                <w:sz w:val="17"/>
                <w:szCs w:val="17"/>
              </w:rPr>
              <w:t xml:space="preserve">Power BI Service &amp; Consulting Partner in the UAE | HLB HAMT</w:t>
            </w:r>
          </w:p>
        </w:tc>
      </w:tr>
      <w:tr>
        <w:trPr>
          <w:cantSplit/>
        </w:trPr>
        <w:tc>
          <w:tcPr>
            <w:tcW w:type="dxa" w:w="2200"/>
            <w:tcBorders>
              <w:top w:val="single" w:color="D1D5DB" w:sz="4"/>
              <w:left w:val="single" w:color="D1D5DB" w:sz="4"/>
              <w:bottom w:val="single" w:color="D1D5DB" w:sz="4"/>
              <w:right w:val="single" w:color="D1D5DB" w:sz="4"/>
            </w:tcBorders>
            <w:shd w:fill="EEF4F6" w:color="auto" w:val="clear"/>
            <w:tcMar>
              <w:top w:type="dxa" w:w="60"/>
              <w:left w:type="dxa" w:w="100"/>
              <w:bottom w:type="dxa" w:w="60"/>
              <w:right w:type="dxa" w:w="100"/>
            </w:tcMar>
          </w:tcPr>
          <w:p>
            <w:pPr>
              <w:spacing w:after="20" w:line="240" w:lineRule="auto"/>
            </w:pPr>
            <w:r>
              <w:rPr>
                <w:b/>
                <w:bCs/>
                <w:sz w:val="17"/>
                <w:szCs w:val="17"/>
              </w:rPr>
              <w:t xml:space="preserve">Meta description</w:t>
            </w:r>
          </w:p>
        </w:tc>
        <w:tc>
          <w:tcPr>
            <w:tcW w:type="dxa" w:w="6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40" w:lineRule="auto"/>
            </w:pPr>
            <w:r>
              <w:rPr>
                <w:sz w:val="17"/>
                <w:szCs w:val="17"/>
              </w:rPr>
              <w:t xml:space="preserve">Power BI service from HLB HAMT: consulting, data preparation, Arabic-ready dashboards, training and a 7-day proof of concept for businesses in the UAE and GCC.</w:t>
            </w:r>
          </w:p>
        </w:tc>
      </w:tr>
      <w:tr>
        <w:trPr>
          <w:cantSplit/>
        </w:trPr>
        <w:tc>
          <w:tcPr>
            <w:tcW w:type="dxa" w:w="2200"/>
            <w:tcBorders>
              <w:top w:val="single" w:color="D1D5DB" w:sz="4"/>
              <w:left w:val="single" w:color="D1D5DB" w:sz="4"/>
              <w:bottom w:val="single" w:color="D1D5DB" w:sz="4"/>
              <w:right w:val="single" w:color="D1D5DB" w:sz="4"/>
            </w:tcBorders>
            <w:shd w:fill="EEF4F6" w:color="auto" w:val="clear"/>
            <w:tcMar>
              <w:top w:type="dxa" w:w="60"/>
              <w:left w:type="dxa" w:w="100"/>
              <w:bottom w:type="dxa" w:w="60"/>
              <w:right w:type="dxa" w:w="100"/>
            </w:tcMar>
          </w:tcPr>
          <w:p>
            <w:pPr>
              <w:spacing w:after="20" w:line="240" w:lineRule="auto"/>
            </w:pPr>
            <w:r>
              <w:rPr>
                <w:b/>
                <w:bCs/>
                <w:sz w:val="17"/>
                <w:szCs w:val="17"/>
              </w:rPr>
              <w:t xml:space="preserve">Primary keyword</w:t>
            </w:r>
          </w:p>
        </w:tc>
        <w:tc>
          <w:tcPr>
            <w:tcW w:type="dxa" w:w="6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40" w:lineRule="auto"/>
            </w:pPr>
            <w:r>
              <w:rPr>
                <w:sz w:val="17"/>
                <w:szCs w:val="17"/>
              </w:rPr>
              <w:t xml:space="preserve">Power BI service</w:t>
            </w:r>
          </w:p>
        </w:tc>
      </w:tr>
      <w:tr>
        <w:trPr>
          <w:cantSplit/>
        </w:trPr>
        <w:tc>
          <w:tcPr>
            <w:tcW w:type="dxa" w:w="2200"/>
            <w:tcBorders>
              <w:top w:val="single" w:color="D1D5DB" w:sz="4"/>
              <w:left w:val="single" w:color="D1D5DB" w:sz="4"/>
              <w:bottom w:val="single" w:color="D1D5DB" w:sz="4"/>
              <w:right w:val="single" w:color="D1D5DB" w:sz="4"/>
            </w:tcBorders>
            <w:shd w:fill="EEF4F6" w:color="auto" w:val="clear"/>
            <w:tcMar>
              <w:top w:type="dxa" w:w="60"/>
              <w:left w:type="dxa" w:w="100"/>
              <w:bottom w:type="dxa" w:w="60"/>
              <w:right w:type="dxa" w:w="100"/>
            </w:tcMar>
          </w:tcPr>
          <w:p>
            <w:pPr>
              <w:spacing w:after="20" w:line="240" w:lineRule="auto"/>
            </w:pPr>
            <w:r>
              <w:rPr>
                <w:b/>
                <w:bCs/>
                <w:sz w:val="17"/>
                <w:szCs w:val="17"/>
              </w:rPr>
              <w:t xml:space="preserve">Secondary keywords</w:t>
            </w:r>
          </w:p>
        </w:tc>
        <w:tc>
          <w:tcPr>
            <w:tcW w:type="dxa" w:w="6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40" w:lineRule="auto"/>
            </w:pPr>
            <w:r>
              <w:rPr>
                <w:sz w:val="17"/>
                <w:szCs w:val="17"/>
              </w:rPr>
              <w:t xml:space="preserve">Power BI Services; Power BI consulting company; Power BI solutions expert; Certified Power BI Partner in UAE (not placed: HLB HAMT is positioned as a Power BI reselling partner, brief Section 13 point 2)</w:t>
            </w:r>
          </w:p>
        </w:tc>
      </w:tr>
      <w:tr>
        <w:trPr>
          <w:cantSplit/>
        </w:trPr>
        <w:tc>
          <w:tcPr>
            <w:tcW w:type="dxa" w:w="2200"/>
            <w:tcBorders>
              <w:top w:val="single" w:color="D1D5DB" w:sz="4"/>
              <w:left w:val="single" w:color="D1D5DB" w:sz="4"/>
              <w:bottom w:val="single" w:color="D1D5DB" w:sz="4"/>
              <w:right w:val="single" w:color="D1D5DB" w:sz="4"/>
            </w:tcBorders>
            <w:shd w:fill="EEF4F6" w:color="auto" w:val="clear"/>
            <w:tcMar>
              <w:top w:type="dxa" w:w="60"/>
              <w:left w:type="dxa" w:w="100"/>
              <w:bottom w:type="dxa" w:w="60"/>
              <w:right w:type="dxa" w:w="100"/>
            </w:tcMar>
          </w:tcPr>
          <w:p>
            <w:pPr>
              <w:spacing w:after="20" w:line="240" w:lineRule="auto"/>
            </w:pPr>
            <w:r>
              <w:rPr>
                <w:b/>
                <w:bCs/>
                <w:sz w:val="17"/>
                <w:szCs w:val="17"/>
              </w:rPr>
              <w:t xml:space="preserve">Final URL</w:t>
            </w:r>
          </w:p>
        </w:tc>
        <w:tc>
          <w:tcPr>
            <w:tcW w:type="dxa" w:w="6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40" w:lineRule="auto"/>
            </w:pPr>
            <w:r>
              <w:rPr>
                <w:sz w:val="17"/>
                <w:szCs w:val="17"/>
              </w:rPr>
              <w:t xml:space="preserve">Not yet decided (brief Section 10, point 3). "power-bi-services-homepage" is a working file name only.</w:t>
            </w:r>
          </w:p>
        </w:tc>
      </w:tr>
      <w:tr>
        <w:trPr>
          <w:cantSplit/>
        </w:trPr>
        <w:tc>
          <w:tcPr>
            <w:tcW w:type="dxa" w:w="2200"/>
            <w:tcBorders>
              <w:top w:val="single" w:color="D1D5DB" w:sz="4"/>
              <w:left w:val="single" w:color="D1D5DB" w:sz="4"/>
              <w:bottom w:val="single" w:color="D1D5DB" w:sz="4"/>
              <w:right w:val="single" w:color="D1D5DB" w:sz="4"/>
            </w:tcBorders>
            <w:shd w:fill="EEF4F6" w:color="auto" w:val="clear"/>
            <w:tcMar>
              <w:top w:type="dxa" w:w="60"/>
              <w:left w:type="dxa" w:w="100"/>
              <w:bottom w:type="dxa" w:w="60"/>
              <w:right w:type="dxa" w:w="100"/>
            </w:tcMar>
          </w:tcPr>
          <w:p>
            <w:pPr>
              <w:spacing w:after="20" w:line="240" w:lineRule="auto"/>
            </w:pPr>
            <w:r>
              <w:rPr>
                <w:b/>
                <w:bCs/>
                <w:sz w:val="17"/>
                <w:szCs w:val="17"/>
              </w:rPr>
              <w:t xml:space="preserve">Breadcrumb (S0)</w:t>
            </w:r>
          </w:p>
        </w:tc>
        <w:tc>
          <w:tcPr>
            <w:tcW w:type="dxa" w:w="6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40" w:lineRule="auto"/>
            </w:pPr>
            <w:r>
              <w:rPr>
                <w:sz w:val="17"/>
                <w:szCs w:val="17"/>
              </w:rPr>
              <w:t xml:space="preserve">Home › Services › Technology Consulting Services › Digital Transformation &amp; Analytics › Data Analytics &amp; Business Intelligence (Power BI)</w:t>
            </w:r>
          </w:p>
        </w:tc>
      </w:tr>
      <w:tr>
        <w:trPr>
          <w:cantSplit/>
        </w:trPr>
        <w:tc>
          <w:tcPr>
            <w:tcW w:type="dxa" w:w="2200"/>
            <w:tcBorders>
              <w:top w:val="single" w:color="D1D5DB" w:sz="4"/>
              <w:left w:val="single" w:color="D1D5DB" w:sz="4"/>
              <w:bottom w:val="single" w:color="D1D5DB" w:sz="4"/>
              <w:right w:val="single" w:color="D1D5DB" w:sz="4"/>
            </w:tcBorders>
            <w:shd w:fill="EEF4F6" w:color="auto" w:val="clear"/>
            <w:tcMar>
              <w:top w:type="dxa" w:w="60"/>
              <w:left w:type="dxa" w:w="100"/>
              <w:bottom w:type="dxa" w:w="60"/>
              <w:right w:type="dxa" w:w="100"/>
            </w:tcMar>
          </w:tcPr>
          <w:p>
            <w:pPr>
              <w:spacing w:after="20" w:line="240" w:lineRule="auto"/>
            </w:pPr>
            <w:r>
              <w:rPr>
                <w:b/>
                <w:bCs/>
                <w:sz w:val="17"/>
                <w:szCs w:val="17"/>
              </w:rPr>
              <w:t xml:space="preserve">Anchor nav (S3)</w:t>
            </w:r>
          </w:p>
        </w:tc>
        <w:tc>
          <w:tcPr>
            <w:tcW w:type="dxa" w:w="6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40" w:lineRule="auto"/>
            </w:pPr>
            <w:r>
              <w:rPr>
                <w:sz w:val="17"/>
                <w:szCs w:val="17"/>
              </w:rPr>
              <w:t xml:space="preserve">Why HLB HAMT (#whyhlbhamt) · The Platform (#explorepowerbi) · Use Cases (#usecases) · Services (#services) · Proof of Concept (#methodology) · Engagement Models (#packages) · FAQ (#faq)</w:t>
            </w:r>
          </w:p>
        </w:tc>
      </w:tr>
      <w:tr>
        <w:trPr>
          <w:cantSplit/>
        </w:trPr>
        <w:tc>
          <w:tcPr>
            <w:tcW w:type="dxa" w:w="2200"/>
            <w:tcBorders>
              <w:top w:val="single" w:color="D1D5DB" w:sz="4"/>
              <w:left w:val="single" w:color="D1D5DB" w:sz="4"/>
              <w:bottom w:val="single" w:color="D1D5DB" w:sz="4"/>
              <w:right w:val="single" w:color="D1D5DB" w:sz="4"/>
            </w:tcBorders>
            <w:shd w:fill="EEF4F6" w:color="auto" w:val="clear"/>
            <w:tcMar>
              <w:top w:type="dxa" w:w="60"/>
              <w:left w:type="dxa" w:w="100"/>
              <w:bottom w:type="dxa" w:w="60"/>
              <w:right w:type="dxa" w:w="100"/>
            </w:tcMar>
          </w:tcPr>
          <w:p>
            <w:pPr>
              <w:spacing w:after="20" w:line="240" w:lineRule="auto"/>
            </w:pPr>
            <w:r>
              <w:rPr>
                <w:b/>
                <w:bCs/>
                <w:sz w:val="17"/>
                <w:szCs w:val="17"/>
              </w:rPr>
              <w:t xml:space="preserve">In-copy links (anchor text is the live hyperlink)</w:t>
            </w:r>
          </w:p>
        </w:tc>
        <w:tc>
          <w:tcPr>
            <w:tcW w:type="dxa" w:w="6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40" w:lineRule="auto"/>
            </w:pPr>
            <w:r>
              <w:rPr>
                <w:b/>
                <w:bCs/>
                <w:sz w:val="17"/>
                <w:szCs w:val="17"/>
              </w:rPr>
              <w:t xml:space="preserve">L1 </w:t>
            </w:r>
            <w:hyperlink w:history="1" r:id="rIdmwuoxuyaqqkpqrqqpbgsa">
              <w:r>
                <w:rPr>
                  <w:rStyle w:val="Hyperlink"/>
                  <w:sz w:val="17"/>
                  <w:szCs w:val="17"/>
                </w:rPr>
                <w:t xml:space="preserve">digital transformation and analytics services</w:t>
              </w:r>
            </w:hyperlink>
            <w:r>
              <w:rPr>
                <w:sz w:val="17"/>
                <w:szCs w:val="17"/>
              </w:rPr>
              <w:t xml:space="preserve">  (S4 lede)</w:t>
            </w:r>
          </w:p>
          <w:p>
            <w:pPr>
              <w:spacing w:after="20" w:line="240" w:lineRule="auto"/>
            </w:pPr>
            <w:r>
              <w:rPr>
                <w:b/>
                <w:bCs/>
                <w:sz w:val="17"/>
                <w:szCs w:val="17"/>
              </w:rPr>
              <w:t xml:space="preserve">L2 </w:t>
            </w:r>
            <w:hyperlink w:history="1" r:id="rIde99xsq9cqsb1rqeyaioau">
              <w:r>
                <w:rPr>
                  <w:rStyle w:val="Hyperlink"/>
                  <w:sz w:val="17"/>
                  <w:szCs w:val="17"/>
                </w:rPr>
                <w:t xml:space="preserve">SugarAI CRM</w:t>
              </w:r>
            </w:hyperlink>
            <w:r>
              <w:rPr>
                <w:sz w:val="17"/>
                <w:szCs w:val="17"/>
              </w:rPr>
              <w:t xml:space="preserve">  (S11 tile 4)</w:t>
            </w:r>
          </w:p>
          <w:p>
            <w:pPr>
              <w:spacing w:after="20" w:line="240" w:lineRule="auto"/>
            </w:pPr>
            <w:r>
              <w:rPr>
                <w:b/>
                <w:bCs/>
                <w:sz w:val="17"/>
                <w:szCs w:val="17"/>
              </w:rPr>
              <w:t xml:space="preserve">L3 </w:t>
            </w:r>
            <w:hyperlink w:history="1" r:id="rId5q9aayiwafwtjbe1qypag">
              <w:r>
                <w:rPr>
                  <w:rStyle w:val="Hyperlink"/>
                  <w:sz w:val="17"/>
                  <w:szCs w:val="17"/>
                </w:rPr>
                <w:t xml:space="preserve">UAE Corporate Tax advisory</w:t>
              </w:r>
            </w:hyperlink>
            <w:r>
              <w:rPr>
                <w:sz w:val="17"/>
                <w:szCs w:val="17"/>
              </w:rPr>
              <w:t xml:space="preserve">  (S6 card 2)</w:t>
            </w:r>
          </w:p>
          <w:p>
            <w:pPr>
              <w:spacing w:after="20" w:line="240" w:lineRule="auto"/>
            </w:pPr>
            <w:r>
              <w:rPr>
                <w:b/>
                <w:bCs/>
                <w:sz w:val="17"/>
                <w:szCs w:val="17"/>
              </w:rPr>
              <w:t xml:space="preserve">L4 </w:t>
            </w:r>
            <w:hyperlink w:history="1" r:id="rIdoqoyrvegtdppdtbyvlfro">
              <w:r>
                <w:rPr>
                  <w:rStyle w:val="Hyperlink"/>
                  <w:sz w:val="17"/>
                  <w:szCs w:val="17"/>
                </w:rPr>
                <w:t xml:space="preserve">Power BI automation</w:t>
              </w:r>
            </w:hyperlink>
            <w:r>
              <w:rPr>
                <w:sz w:val="17"/>
                <w:szCs w:val="17"/>
              </w:rPr>
              <w:t xml:space="preserve">  (FAQ 4)</w:t>
            </w:r>
          </w:p>
          <w:p>
            <w:pPr>
              <w:spacing w:after="20" w:line="240" w:lineRule="auto"/>
            </w:pPr>
            <w:r>
              <w:rPr>
                <w:b/>
                <w:bCs/>
                <w:sz w:val="17"/>
                <w:szCs w:val="17"/>
              </w:rPr>
              <w:t xml:space="preserve">L5 </w:t>
            </w:r>
            <w:hyperlink w:history="1" r:id="rId6e8ts27aehwgzcxoitevx">
              <w:r>
                <w:rPr>
                  <w:rStyle w:val="Hyperlink"/>
                  <w:sz w:val="17"/>
                  <w:szCs w:val="17"/>
                </w:rPr>
                <w:t xml:space="preserve">data protection advisory</w:t>
              </w:r>
            </w:hyperlink>
            <w:r>
              <w:rPr>
                <w:sz w:val="17"/>
                <w:szCs w:val="17"/>
              </w:rPr>
              <w:t xml:space="preserve">  (FAQ 6)</w:t>
            </w:r>
          </w:p>
          <w:p>
            <w:pPr>
              <w:spacing w:after="20" w:line="240" w:lineRule="auto"/>
            </w:pPr>
            <w:r>
              <w:rPr>
                <w:b/>
                <w:bCs/>
                <w:sz w:val="17"/>
                <w:szCs w:val="17"/>
              </w:rPr>
              <w:t xml:space="preserve">L6 </w:t>
            </w:r>
            <w:hyperlink w:history="1" r:id="rIdlcuuelkatll0etktrxvda">
              <w:r>
                <w:rPr>
                  <w:rStyle w:val="Hyperlink"/>
                  <w:sz w:val="17"/>
                  <w:szCs w:val="17"/>
                </w:rPr>
                <w:t xml:space="preserve">Power BI dashboard development</w:t>
              </w:r>
            </w:hyperlink>
            <w:r>
              <w:rPr>
                <w:sz w:val="17"/>
                <w:szCs w:val="17"/>
              </w:rPr>
              <w:t xml:space="preserve">  (S7 item 03)</w:t>
            </w:r>
          </w:p>
          <w:p>
            <w:pPr>
              <w:spacing w:after="20" w:line="240" w:lineRule="auto"/>
            </w:pPr>
            <w:r>
              <w:rPr>
                <w:b/>
                <w:bCs/>
                <w:sz w:val="17"/>
                <w:szCs w:val="17"/>
              </w:rPr>
              <w:t xml:space="preserve">L7 </w:t>
            </w:r>
            <w:hyperlink w:history="1" r:id="rId_n_ipkqvm3zx_fdhmbxbz">
              <w:r>
                <w:rPr>
                  <w:rStyle w:val="Hyperlink"/>
                  <w:sz w:val="17"/>
                  <w:szCs w:val="17"/>
                </w:rPr>
                <w:t xml:space="preserve">data visualisation services</w:t>
              </w:r>
            </w:hyperlink>
            <w:r>
              <w:rPr>
                <w:sz w:val="17"/>
                <w:szCs w:val="17"/>
              </w:rPr>
              <w:t xml:space="preserve">  (S6 intro)</w:t>
            </w:r>
          </w:p>
          <w:p>
            <w:pPr>
              <w:spacing w:after="20" w:line="240" w:lineRule="auto"/>
            </w:pPr>
            <w:r>
              <w:rPr>
                <w:sz w:val="17"/>
                <w:szCs w:val="17"/>
              </w:rPr>
              <w:t xml:space="preserve">PLACEHOLDER, page slug to be confirmed: advanced analytics services → /services/advanced-analytics-services/ (S6 card 6; dotted underline in this document)</w:t>
            </w:r>
          </w:p>
        </w:tc>
      </w:tr>
      <w:tr>
        <w:trPr>
          <w:cantSplit/>
        </w:trPr>
        <w:tc>
          <w:tcPr>
            <w:tcW w:type="dxa" w:w="2200"/>
            <w:tcBorders>
              <w:top w:val="single" w:color="D1D5DB" w:sz="4"/>
              <w:left w:val="single" w:color="D1D5DB" w:sz="4"/>
              <w:bottom w:val="single" w:color="D1D5DB" w:sz="4"/>
              <w:right w:val="single" w:color="D1D5DB" w:sz="4"/>
            </w:tcBorders>
            <w:shd w:fill="EEF4F6" w:color="auto" w:val="clear"/>
            <w:tcMar>
              <w:top w:type="dxa" w:w="60"/>
              <w:left w:type="dxa" w:w="100"/>
              <w:bottom w:type="dxa" w:w="60"/>
              <w:right w:type="dxa" w:w="100"/>
            </w:tcMar>
          </w:tcPr>
          <w:p>
            <w:pPr>
              <w:spacing w:after="20" w:line="240" w:lineRule="auto"/>
            </w:pPr>
            <w:r>
              <w:rPr>
                <w:b/>
                <w:bCs/>
                <w:sz w:val="17"/>
                <w:szCs w:val="17"/>
              </w:rPr>
              <w:t xml:space="preserve">Schema (HTML only)</w:t>
            </w:r>
          </w:p>
        </w:tc>
        <w:tc>
          <w:tcPr>
            <w:tcW w:type="dxa" w:w="6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40" w:lineRule="auto"/>
            </w:pPr>
            <w:r>
              <w:rPr>
                <w:sz w:val="17"/>
                <w:szCs w:val="17"/>
              </w:rPr>
              <w:t xml:space="preserve">Service, FAQPage (10 Q&amp;As, text identical to the on-page answers) and BreadcrumbList JSON-LD, in the .html file.</w:t>
            </w:r>
          </w:p>
        </w:tc>
      </w:tr>
      <w:tr>
        <w:trPr>
          <w:cantSplit/>
        </w:trPr>
        <w:tc>
          <w:tcPr>
            <w:tcW w:type="dxa" w:w="2200"/>
            <w:tcBorders>
              <w:top w:val="single" w:color="D1D5DB" w:sz="4"/>
              <w:left w:val="single" w:color="D1D5DB" w:sz="4"/>
              <w:bottom w:val="single" w:color="D1D5DB" w:sz="4"/>
              <w:right w:val="single" w:color="D1D5DB" w:sz="4"/>
            </w:tcBorders>
            <w:shd w:fill="EEF4F6" w:color="auto" w:val="clear"/>
            <w:tcMar>
              <w:top w:type="dxa" w:w="60"/>
              <w:left w:type="dxa" w:w="100"/>
              <w:bottom w:type="dxa" w:w="60"/>
              <w:right w:type="dxa" w:w="100"/>
            </w:tcMar>
          </w:tcPr>
          <w:p>
            <w:pPr>
              <w:spacing w:after="20" w:line="240" w:lineRule="auto"/>
            </w:pPr>
            <w:r>
              <w:rPr>
                <w:b/>
                <w:bCs/>
                <w:sz w:val="17"/>
                <w:szCs w:val="17"/>
              </w:rPr>
              <w:t xml:space="preserve">Assets needed</w:t>
            </w:r>
          </w:p>
        </w:tc>
        <w:tc>
          <w:tcPr>
            <w:tcW w:type="dxa" w:w="6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40" w:lineRule="auto"/>
            </w:pPr>
            <w:r>
              <w:rPr>
                <w:sz w:val="17"/>
                <w:szCs w:val="17"/>
              </w:rPr>
              <w:t xml:space="preserve">S12: static Power BI dashboard screenshot or GIF (no video supplied).</w:t>
            </w:r>
          </w:p>
        </w:tc>
      </w:tr>
    </w:tbl>
    <w:p>
      <w:pPr>
        <w:pStyle w:val="Marker"/>
        <w:keepNext/>
      </w:pPr>
      <w:r>
        <w:t xml:space="preserve">S0 · Breadcrumb (not counted)</w:t>
      </w:r>
    </w:p>
    <w:p>
      <w:hyperlink w:history="1" r:id="rIdfwiwxbydiykjfqzq6zoyl">
        <w:r>
          <w:rPr>
            <w:rStyle w:val="Hyperlink"/>
          </w:rPr>
          <w:t xml:space="preserve">Home</w:t>
        </w:r>
      </w:hyperlink>
      <w:r>
        <w:rPr>
          <w:color w:val="4B5563"/>
        </w:rPr>
        <w:t xml:space="preserve">  ›  </w:t>
      </w:r>
      <w:r>
        <w:rPr>
          <w:color w:val="4B5563"/>
        </w:rPr>
        <w:t xml:space="preserve">Services</w:t>
      </w:r>
      <w:r>
        <w:rPr>
          <w:color w:val="4B5563"/>
        </w:rPr>
        <w:t xml:space="preserve">  ›  </w:t>
      </w:r>
      <w:hyperlink w:history="1" r:id="rIdhiv16_gsea9k3ldb6y4s8">
        <w:r>
          <w:rPr>
            <w:rStyle w:val="Hyperlink"/>
          </w:rPr>
          <w:t xml:space="preserve">Technology Consulting Services</w:t>
        </w:r>
      </w:hyperlink>
      <w:r>
        <w:rPr>
          <w:color w:val="4B5563"/>
        </w:rPr>
        <w:t xml:space="preserve">  ›  </w:t>
      </w:r>
      <w:hyperlink w:history="1" r:id="rIdtqg8a2tqbf0ojiemjojce">
        <w:r>
          <w:rPr>
            <w:rStyle w:val="Hyperlink"/>
          </w:rPr>
          <w:t xml:space="preserve">Digital Transformation &amp; Analytics</w:t>
        </w:r>
      </w:hyperlink>
      <w:r>
        <w:rPr>
          <w:color w:val="4B5563"/>
        </w:rPr>
        <w:t xml:space="preserve">  ›  </w:t>
      </w:r>
      <w:r>
        <w:rPr>
          <w:color w:val="4B5563"/>
        </w:rPr>
        <w:t xml:space="preserve">Data Analytics &amp; Business Intelligence (Power BI)</w:t>
      </w:r>
    </w:p>
    <w:p>
      <w:pPr>
        <w:pStyle w:val="Marker"/>
        <w:keepNext/>
      </w:pPr>
      <w:r>
        <w:t xml:space="preserve">S1 · Hero, "one version of the numbers" sub-block and deployment line</w:t>
      </w:r>
    </w:p>
    <w:p>
      <w:pPr>
        <w:pStyle w:val="Eyebrow"/>
        <w:keepNext/>
      </w:pPr>
      <w:r>
        <w:t xml:space="preserve">HLB HAMT POWER BI SERVICES</w:t>
      </w:r>
    </w:p>
    <w:p>
      <w:pPr>
        <w:pStyle w:val="Heading1"/>
      </w:pPr>
      <w:r>
        <w:t xml:space="preserve">HLB HAMT: Your Power BI Service Partner for Smarter Decisions in the UAE</w:t>
      </w:r>
    </w:p>
    <w:p>
      <w:pPr>
        <w:pStyle w:val="Lede"/>
      </w:pPr>
      <w:r>
        <w:t xml:space="preserve">HLB HAMT designs, builds and runs your Power BI service, turning ERP, CRM, finance and spreadsheet data into dashboards your leadership team can take straight into the boardroom. Our chartered accountants work beside our data engineers, so the measures behind each report follow the rules your auditors test, whether you operate in one emirate or across the GCC.</w:t>
      </w:r>
    </w:p>
    <w:p>
      <w:pPr>
        <w:pStyle w:val="Button"/>
      </w:pPr>
      <w:r>
        <w:rPr>
          <w:b/>
          <w:bCs/>
        </w:rPr>
        <w:t xml:space="preserve">Button: </w:t>
      </w:r>
      <w:r>
        <w:t xml:space="preserve">Book a Power BI consultation</w:t>
      </w:r>
      <w:r>
        <w:rPr>
          <w:color w:val="4B5563"/>
        </w:rPr>
        <w:t xml:space="preserve">  →  #contact</w:t>
      </w:r>
    </w:p>
    <w:p>
      <w:pPr>
        <w:pStyle w:val="Button"/>
      </w:pPr>
      <w:r>
        <w:rPr>
          <w:b/>
          <w:bCs/>
        </w:rPr>
        <w:t xml:space="preserve">Button: </w:t>
      </w:r>
      <w:r>
        <w:t xml:space="preserve">See our engagement models</w:t>
      </w:r>
      <w:r>
        <w:rPr>
          <w:color w:val="4B5563"/>
        </w:rPr>
        <w:t xml:space="preserve">  →  #packages</w:t>
      </w:r>
    </w:p>
    <w:p>
      <w:pPr>
        <w:pStyle w:val="SubBlock"/>
        <w:keepNext/>
      </w:pPr>
      <w:r>
        <w:t xml:space="preserve">One semantic model, one version of the numbers</w:t>
      </w:r>
    </w:p>
    <w:p>
      <w:r>
        <w:t xml:space="preserve">We define each measure once, so gross margin reads the same on the executive dashboard, in an analyst's drill-down and on a sales manager's phone.</w:t>
      </w:r>
    </w:p>
    <w:p>
      <w:pPr>
        <w:pStyle w:val="Heading3"/>
        <w:keepNext/>
      </w:pPr>
      <w:r>
        <w:t xml:space="preserve">Leadership</w:t>
      </w:r>
    </w:p>
    <w:p>
      <w:r>
        <w:t xml:space="preserve">A one-page view of the KPIs your executives check first thing, refreshed before they log in.</w:t>
      </w:r>
    </w:p>
    <w:p>
      <w:pPr>
        <w:pStyle w:val="Heading3"/>
        <w:keepNext/>
      </w:pPr>
      <w:r>
        <w:t xml:space="preserve">Analysts</w:t>
      </w:r>
    </w:p>
    <w:p>
      <w:r>
        <w:t xml:space="preserve">Multi-page reports with filters and drill-downs that trace why a number moved, down to transactions.</w:t>
      </w:r>
    </w:p>
    <w:p>
      <w:pPr>
        <w:pStyle w:val="Heading3"/>
        <w:keepNext/>
      </w:pPr>
      <w:r>
        <w:t xml:space="preserve">Teams on the move</w:t>
      </w:r>
    </w:p>
    <w:p>
      <w:r>
        <w:t xml:space="preserve">Area managers open the same reports, with alerts, on their phones between site visits.</w:t>
      </w:r>
    </w:p>
    <w:p>
      <w:pPr>
        <w:pStyle w:val="Small"/>
      </w:pPr>
      <w:r>
        <w:t xml:space="preserve">We set up your environment so data can stay in-country, in Microsoft's UAE North (Dubai) or UAE Central (Abu Dhabi) cloud region. Dubai runs every data workload; Abu Dhabi supports Power BI only.</w:t>
      </w:r>
      <w:r>
        <w:rPr>
          <w:vertAlign w:val="superscript"/>
        </w:rPr>
        <w:t xml:space="preserve">1</w:t>
      </w:r>
    </w:p>
    <w:p>
      <w:pPr>
        <w:pStyle w:val="Marker"/>
        <w:keepNext/>
      </w:pPr>
      <w:r>
        <w:t xml:space="preserve">S2 · Dark stats strip (3 items, no heading on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rPr>
        <w:tc>
          <w:tcPr>
            <w:tcW w:type="dxa" w:w="3008"/>
            <w:tcBorders>
              <w:top w:val="single" w:color="FFFFFF" w:sz="6"/>
              <w:left w:val="single" w:color="FFFFFF" w:sz="6"/>
              <w:bottom w:val="single" w:color="FFFFFF" w:sz="6"/>
              <w:right w:val="single" w:color="FFFFFF" w:sz="6"/>
            </w:tcBorders>
            <w:shd w:fill="3C3C3B" w:color="auto" w:val="clear"/>
            <w:tcMar>
              <w:top w:type="dxa" w:w="140"/>
              <w:left w:type="dxa" w:w="140"/>
              <w:bottom w:type="dxa" w:w="160"/>
              <w:right w:type="dxa" w:w="140"/>
            </w:tcMar>
          </w:tcPr>
          <w:p>
            <w:pPr>
              <w:spacing w:after="60" w:line="240" w:lineRule="auto"/>
            </w:pPr>
            <w:r>
              <w:rPr>
                <w:b/>
                <w:bCs/>
                <w:color w:val="FFFFFF"/>
                <w:sz w:val="26"/>
                <w:szCs w:val="26"/>
              </w:rPr>
              <w:t xml:space="preserve">200+</w:t>
            </w:r>
          </w:p>
          <w:p>
            <w:pPr>
              <w:spacing w:after="0" w:line="260" w:lineRule="auto"/>
            </w:pPr>
            <w:r>
              <w:rPr>
                <w:color w:val="E5E7EB"/>
                <w:sz w:val="17"/>
                <w:szCs w:val="17"/>
              </w:rPr>
              <w:t xml:space="preserve">Power BI connectors; we configure yours and build missing ones.</w:t>
            </w:r>
            <w:r>
              <w:rPr>
                <w:color w:val="E5E7EB"/>
                <w:sz w:val="17"/>
                <w:szCs w:val="17"/>
                <w:vertAlign w:val="superscript"/>
              </w:rPr>
              <w:t xml:space="preserve">2</w:t>
            </w:r>
          </w:p>
        </w:tc>
        <w:tc>
          <w:tcPr>
            <w:tcW w:type="dxa" w:w="3008"/>
            <w:tcBorders>
              <w:top w:val="single" w:color="FFFFFF" w:sz="6"/>
              <w:left w:val="single" w:color="FFFFFF" w:sz="6"/>
              <w:bottom w:val="single" w:color="FFFFFF" w:sz="6"/>
              <w:right w:val="single" w:color="FFFFFF" w:sz="6"/>
            </w:tcBorders>
            <w:shd w:fill="3C3C3B" w:color="auto" w:val="clear"/>
            <w:tcMar>
              <w:top w:type="dxa" w:w="140"/>
              <w:left w:type="dxa" w:w="140"/>
              <w:bottom w:type="dxa" w:w="160"/>
              <w:right w:type="dxa" w:w="140"/>
            </w:tcMar>
          </w:tcPr>
          <w:p>
            <w:pPr>
              <w:spacing w:after="60" w:line="240" w:lineRule="auto"/>
            </w:pPr>
            <w:r>
              <w:rPr>
                <w:b/>
                <w:bCs/>
                <w:color w:val="FFFFFF"/>
                <w:sz w:val="26"/>
                <w:szCs w:val="26"/>
              </w:rPr>
              <w:t xml:space="preserve">Since 1999</w:t>
            </w:r>
          </w:p>
          <w:p>
            <w:pPr>
              <w:spacing w:after="0" w:line="260" w:lineRule="auto"/>
            </w:pPr>
            <w:r>
              <w:rPr>
                <w:color w:val="E5E7EB"/>
                <w:sz w:val="17"/>
                <w:szCs w:val="17"/>
              </w:rPr>
              <w:t xml:space="preserve">A licensed UAE audit, tax and advisory firm that also builds your data platform.</w:t>
            </w:r>
            <w:r>
              <w:rPr>
                <w:color w:val="E5E7EB"/>
                <w:sz w:val="17"/>
                <w:szCs w:val="17"/>
                <w:vertAlign w:val="superscript"/>
              </w:rPr>
              <w:t xml:space="preserve">3</w:t>
            </w:r>
          </w:p>
        </w:tc>
        <w:tc>
          <w:tcPr>
            <w:tcW w:type="dxa" w:w="3010"/>
            <w:tcBorders>
              <w:top w:val="single" w:color="FFFFFF" w:sz="6"/>
              <w:left w:val="single" w:color="FFFFFF" w:sz="6"/>
              <w:bottom w:val="single" w:color="FFFFFF" w:sz="6"/>
              <w:right w:val="single" w:color="FFFFFF" w:sz="6"/>
            </w:tcBorders>
            <w:shd w:fill="3C3C3B" w:color="auto" w:val="clear"/>
            <w:tcMar>
              <w:top w:type="dxa" w:w="140"/>
              <w:left w:type="dxa" w:w="140"/>
              <w:bottom w:type="dxa" w:w="160"/>
              <w:right w:type="dxa" w:w="140"/>
            </w:tcMar>
          </w:tcPr>
          <w:p>
            <w:pPr>
              <w:spacing w:after="60" w:line="240" w:lineRule="auto"/>
            </w:pPr>
            <w:r>
              <w:rPr>
                <w:b/>
                <w:bCs/>
                <w:color w:val="FFFFFF"/>
                <w:sz w:val="26"/>
                <w:szCs w:val="26"/>
              </w:rPr>
              <w:t xml:space="preserve">Arabic and English</w:t>
            </w:r>
          </w:p>
          <w:p>
            <w:pPr>
              <w:spacing w:after="0" w:line="260" w:lineRule="auto"/>
            </w:pPr>
            <w:r>
              <w:rPr>
                <w:color w:val="E5E7EB"/>
                <w:sz w:val="17"/>
                <w:szCs w:val="17"/>
              </w:rPr>
              <w:t xml:space="preserve">Right-to-left dashboards planned from the first mockup, not retrofitted.</w:t>
            </w:r>
          </w:p>
        </w:tc>
      </w:tr>
    </w:tbl>
    <w:p>
      <w:pPr>
        <w:pStyle w:val="Marker"/>
        <w:keepNext/>
      </w:pPr>
      <w:r>
        <w:t xml:space="preserve">S2b · Recognition bar</w:t>
      </w:r>
    </w:p>
    <w:p>
      <w:r>
        <w:rPr>
          <w:b/>
          <w:bCs/>
          <w:sz w:val="21"/>
          <w:szCs w:val="21"/>
        </w:rPr>
        <w:t xml:space="preserve">HLB HAMT builds on Power BI. Microsoft was named a Leader in the 2026 Gartner® Magic Quadrant™ for Analytics and BI Platforms for the 19th consecutive year.</w:t>
      </w:r>
      <w:r>
        <w:rPr>
          <w:b/>
          <w:bCs/>
          <w:sz w:val="21"/>
          <w:szCs w:val="21"/>
          <w:vertAlign w:val="superscript"/>
        </w:rPr>
        <w:t xml:space="preserve">4</w:t>
      </w:r>
    </w:p>
    <w:p>
      <w:pPr>
        <w:pStyle w:val="Button"/>
      </w:pPr>
      <w:r>
        <w:rPr>
          <w:b/>
          <w:bCs/>
        </w:rPr>
        <w:t xml:space="preserve">Button: </w:t>
      </w:r>
      <w:hyperlink w:history="1" r:id="rIdnnw7irmzrw-qkbblrpqzi">
        <w:r>
          <w:rPr>
            <w:rStyle w:val="Hyperlink"/>
          </w:rPr>
          <w:t xml:space="preserve">Read Microsoft's announcement</w:t>
        </w:r>
      </w:hyperlink>
      <w:r>
        <w:rPr>
          <w:color w:val="4B5563"/>
        </w:rPr>
        <w:t xml:space="preserve">  →  external link, opens in a new tab (same target as Source 4)</w:t>
      </w:r>
    </w:p>
    <w:p>
      <w:pPr>
        <w:pStyle w:val="Marker"/>
        <w:keepNext/>
      </w:pPr>
      <w:r>
        <w:t xml:space="preserve">S3 · Sticky anchor nav (not counted)</w:t>
      </w:r>
    </w:p>
    <w:p>
      <w:pPr>
        <w:pStyle w:val="Note"/>
      </w:pPr>
      <w:r>
        <w:t xml:space="preserve">Why HLB HAMT  ·  The Platform  ·  Use Cases  ·  Services  ·  Proof of Concept  ·  Engagement Models  ·  FAQ</w:t>
      </w:r>
    </w:p>
    <w:p>
      <w:pPr>
        <w:pStyle w:val="Marker"/>
        <w:keepNext/>
      </w:pPr>
      <w:r>
        <w:t xml:space="preserve">S4 · Why HLB HAMT · #whyhlbhamt</w:t>
      </w:r>
    </w:p>
    <w:p>
      <w:pPr>
        <w:pStyle w:val="Eyebrow"/>
        <w:keepNext/>
      </w:pPr>
      <w:r>
        <w:t xml:space="preserve">WHY HLB HAMT</w:t>
      </w:r>
    </w:p>
    <w:p>
      <w:pPr>
        <w:pStyle w:val="Heading2"/>
        <w:keepNext/>
      </w:pPr>
      <w:r>
        <w:t xml:space="preserve">Great Dashboards Start With the Numbers Behind Them</w:t>
      </w:r>
    </w:p>
    <w:p>
      <w:pPr>
        <w:pStyle w:val="Lede"/>
      </w:pPr>
      <w:r>
        <w:t xml:space="preserve">HLB HAMT is a Power BI consulting company that is also a licensed audit, tax and advisory firm, and a member of the HLB International network. Power BI gives us the platform; our accountants and engineers make the numbers reconcile. That combination anchors our </w:t>
      </w:r>
      <w:hyperlink w:history="1" r:id="rIdnsqyqs5x0ygeqeq8jpb0n">
        <w:r>
          <w:rPr>
            <w:rStyle w:val="Hyperlink"/>
          </w:rPr>
          <w:t xml:space="preserve">digital transformation and analytics services</w:t>
        </w:r>
      </w:hyperlink>
      <w:r>
        <w:t xml:space="preserve">, where we build self-service BI ecosystems on figures your finance team has already approved.</w:t>
      </w:r>
    </w:p>
    <w:p>
      <w:pPr>
        <w:pStyle w:val="Heading3"/>
        <w:keepNext/>
      </w:pPr>
      <w:r>
        <w:t xml:space="preserve">What we do</w:t>
      </w:r>
    </w:p>
    <w:p>
      <w:r>
        <w:t xml:space="preserve">Discovery, data preparation, modelling and DAX, and report design all sit with us. So does setting up and governing your Power BI service: workspaces and apps, row-level security and scheduled refresh. Training and support carry on after launch, for as long as you need them.</w:t>
      </w:r>
    </w:p>
    <w:p>
      <w:pPr>
        <w:pStyle w:val="Heading3"/>
        <w:keepNext/>
      </w:pPr>
      <w:r>
        <w:t xml:space="preserve">Who we work with</w:t>
      </w:r>
    </w:p>
    <w:p>
      <w:r>
        <w:t xml:space="preserve">Clients range from a finance department piloting its first dashboard to multi-entity groups reporting across several companies and currencies. We deliver in all seven emirates and in Saudi Arabia, Oman, Bahrain, Kuwait and Qatar, with HLB International member firms extending our reach beyond the Gulf.</w:t>
      </w:r>
    </w:p>
    <w:p>
      <w:pPr>
        <w:pStyle w:val="Heading3"/>
        <w:keepNext/>
      </w:pPr>
      <w:r>
        <w:t xml:space="preserve">How we deliver</w:t>
      </w:r>
    </w:p>
    <w:p>
      <w:r>
        <w:t xml:space="preserve">Most clients start with a live demo or a </w:t>
      </w:r>
      <w:hyperlink w:history="1" w:anchor="methodology">
        <w:r>
          <w:rPr>
            <w:rStyle w:val="Hyperlink"/>
          </w:rPr>
          <w:t xml:space="preserve">proof of concept</w:t>
        </w:r>
      </w:hyperlink>
      <w:r>
        <w:t xml:space="preserve">. Full implementations then move through five stages: we define the KPIs and their metric logic, model the data, design the report architecture and user experience, validate accuracy and tune performance, then deploy and drive adoption across your teams.</w:t>
      </w:r>
    </w:p>
    <w:p>
      <w:pPr>
        <w:pStyle w:val="Heading3"/>
        <w:keepNext/>
      </w:pPr>
      <w:r>
        <w:t xml:space="preserve">Support after go-live</w:t>
      </w:r>
    </w:p>
    <w:p>
      <w:r>
        <w:t xml:space="preserve">Once reports are live, a single point of contact in our UAE-based team handles your requests in your time zone, Monday to Friday. That person knows your model, tracks each one through to a fix and brings in the right specialist when the board asks for something new.</w:t>
      </w:r>
    </w:p>
    <w:p>
      <w:pPr>
        <w:pStyle w:val="Marker"/>
        <w:keepNext/>
      </w:pPr>
      <w:r>
        <w:t xml:space="preserve">S5 · The Platform We Deliver (module table and platform layer) · #explorepowerbi</w:t>
      </w:r>
    </w:p>
    <w:p>
      <w:pPr>
        <w:pStyle w:val="Eyebrow"/>
        <w:keepNext/>
      </w:pPr>
      <w:r>
        <w:t xml:space="preserve">THE PLATFORM WE DELIVER</w:t>
      </w:r>
    </w:p>
    <w:p>
      <w:pPr>
        <w:pStyle w:val="Heading2"/>
        <w:keepNext/>
      </w:pPr>
      <w:r>
        <w:t xml:space="preserve">What HLB HAMT Builds for You on Power BI</w:t>
      </w:r>
    </w:p>
    <w:p>
      <w:pPr>
        <w:pStyle w:val="Lede"/>
      </w:pPr>
      <w:r>
        <w:t xml:space="preserve">HLB HAMT delivers your reporting on Power BI because it works natively with the Microsoft productivity and business apps your staff already rely on. People who live in those tools pick it up with very little friction, which shortens the gap between go-live and everyday use. Below is what we build on each part of the platform.</w:t>
      </w:r>
    </w:p>
    <w:p>
      <w:pPr>
        <w:pStyle w:val="Label"/>
        <w:keepNext/>
      </w:pPr>
      <w:r>
        <w:t xml:space="preserve">Capability</w:t>
      </w:r>
    </w:p>
    <w:p>
      <w:pPr>
        <w:pStyle w:val="Heading3"/>
        <w:keepNext/>
      </w:pPr>
      <w:r>
        <w:t xml:space="preserve">Self-service reporting your teams run themselves</w:t>
      </w:r>
    </w:p>
    <w:p>
      <w:r>
        <w:t xml:space="preserve">We build semantic models in Power BI Desktop with standardised metric definitions and reusable data layers, then write the DAX measures behind YTD revenue, year-over-year growth and running totals. Business users can explore those numbers on their own, without raising a ticket with IT.</w:t>
      </w:r>
    </w:p>
    <w:p>
      <w:pPr>
        <w:pStyle w:val="Label"/>
        <w:keepNext/>
      </w:pPr>
      <w:r>
        <w:t xml:space="preserve">Key capabilities</w:t>
      </w:r>
    </w:p>
    <w:p>
      <w:pPr>
        <w:pStyle w:val="ListParagraph"/>
        <w:numPr>
          <w:ilvl w:val="0"/>
          <w:numId w:val="2"/>
        </w:numPr>
        <w:spacing w:after="20"/>
      </w:pPr>
      <w:r>
        <w:t xml:space="preserve">Interactive visuals</w:t>
      </w:r>
    </w:p>
    <w:p>
      <w:pPr>
        <w:pStyle w:val="ListParagraph"/>
        <w:numPr>
          <w:ilvl w:val="0"/>
          <w:numId w:val="2"/>
        </w:numPr>
        <w:spacing w:after="20"/>
      </w:pPr>
      <w:r>
        <w:t xml:space="preserve">DAX measures for custom KPIs</w:t>
      </w:r>
    </w:p>
    <w:p>
      <w:pPr>
        <w:pStyle w:val="ListParagraph"/>
        <w:numPr>
          <w:ilvl w:val="0"/>
          <w:numId w:val="2"/>
        </w:numPr>
        <w:spacing w:after="20"/>
      </w:pPr>
      <w:r>
        <w:t xml:space="preserve">Data shaping and cleansing</w:t>
      </w:r>
    </w:p>
    <w:p>
      <w:pPr>
        <w:pStyle w:val="ListParagraph"/>
        <w:numPr>
          <w:ilvl w:val="0"/>
          <w:numId w:val="2"/>
        </w:numPr>
        <w:spacing w:after="20"/>
      </w:pPr>
      <w:r>
        <w:t xml:space="preserve">Reusable report themes</w:t>
      </w:r>
    </w:p>
    <w:p>
      <w:pPr>
        <w:pStyle w:val="ListParagraph"/>
        <w:numPr>
          <w:ilvl w:val="0"/>
          <w:numId w:val="2"/>
        </w:numPr>
        <w:spacing w:after="20"/>
      </w:pPr>
      <w:r>
        <w:t xml:space="preserve">Arabic and English layouts</w:t>
      </w:r>
    </w:p>
    <w:p>
      <w:pPr>
        <w:pStyle w:val="Label"/>
        <w:keepNext/>
      </w:pPr>
      <w:r>
        <w:t xml:space="preserve">Capability</w:t>
      </w:r>
    </w:p>
    <w:p>
      <w:pPr>
        <w:pStyle w:val="Heading3"/>
        <w:keepNext/>
      </w:pPr>
      <w:r>
        <w:t xml:space="preserve">The Power BI service</w:t>
      </w:r>
    </w:p>
    <w:p>
      <w:r>
        <w:t xml:space="preserve">We set up, govern and run the cloud service where your reports are published as apps, refreshed on schedule and secured by role.</w:t>
      </w:r>
      <w:r>
        <w:rPr>
          <w:vertAlign w:val="superscript"/>
        </w:rPr>
        <w:t xml:space="preserve">5</w:t>
      </w:r>
      <w:r>
        <w:t xml:space="preserve"> Leadership reads dashboards, analysts work in reports, and our administrators keep both healthy as usage grows.</w:t>
      </w:r>
    </w:p>
    <w:p>
      <w:pPr>
        <w:pStyle w:val="Label"/>
        <w:keepNext/>
      </w:pPr>
      <w:r>
        <w:t xml:space="preserve">Key capabilities</w:t>
      </w:r>
    </w:p>
    <w:p>
      <w:pPr>
        <w:pStyle w:val="ListParagraph"/>
        <w:numPr>
          <w:ilvl w:val="0"/>
          <w:numId w:val="2"/>
        </w:numPr>
        <w:spacing w:after="20"/>
      </w:pPr>
      <w:r>
        <w:t xml:space="preserve">Workspaces and apps</w:t>
      </w:r>
    </w:p>
    <w:p>
      <w:pPr>
        <w:pStyle w:val="ListParagraph"/>
        <w:numPr>
          <w:ilvl w:val="0"/>
          <w:numId w:val="2"/>
        </w:numPr>
        <w:spacing w:after="20"/>
      </w:pPr>
      <w:r>
        <w:t xml:space="preserve">Scheduled refresh</w:t>
      </w:r>
    </w:p>
    <w:p>
      <w:pPr>
        <w:pStyle w:val="ListParagraph"/>
        <w:numPr>
          <w:ilvl w:val="0"/>
          <w:numId w:val="2"/>
        </w:numPr>
        <w:spacing w:after="20"/>
      </w:pPr>
      <w:r>
        <w:t xml:space="preserve">Row-level security</w:t>
      </w:r>
    </w:p>
    <w:p>
      <w:pPr>
        <w:pStyle w:val="ListParagraph"/>
        <w:numPr>
          <w:ilvl w:val="0"/>
          <w:numId w:val="2"/>
        </w:numPr>
        <w:spacing w:after="20"/>
      </w:pPr>
      <w:r>
        <w:t xml:space="preserve">Subscriptions and sharing</w:t>
      </w:r>
    </w:p>
    <w:p>
      <w:pPr>
        <w:pStyle w:val="ListParagraph"/>
        <w:numPr>
          <w:ilvl w:val="0"/>
          <w:numId w:val="2"/>
        </w:numPr>
        <w:spacing w:after="20"/>
      </w:pPr>
      <w:r>
        <w:t xml:space="preserve">Usage monitoring</w:t>
      </w:r>
    </w:p>
    <w:p>
      <w:pPr>
        <w:pStyle w:val="Label"/>
        <w:keepNext/>
      </w:pPr>
      <w:r>
        <w:t xml:space="preserve">Capability</w:t>
      </w:r>
    </w:p>
    <w:p>
      <w:pPr>
        <w:pStyle w:val="Heading3"/>
        <w:keepNext/>
      </w:pPr>
      <w:r>
        <w:t xml:space="preserve">Connected to the systems you run</w:t>
      </w:r>
    </w:p>
    <w:p>
      <w:r>
        <w:t xml:space="preserve">Our engineers reach your ERP, CRM, accounting and finance systems, cloud warehouses, spreadsheets, file shares and REST APIs through native, partner-built and custom connectors. For servers inside your network, we install the on-premises data gateway so scheduled refresh keeps running.</w:t>
      </w:r>
    </w:p>
    <w:p>
      <w:pPr>
        <w:pStyle w:val="Label"/>
        <w:keepNext/>
      </w:pPr>
      <w:r>
        <w:t xml:space="preserve">Key capabilities</w:t>
      </w:r>
    </w:p>
    <w:p>
      <w:pPr>
        <w:pStyle w:val="ListParagraph"/>
        <w:numPr>
          <w:ilvl w:val="0"/>
          <w:numId w:val="2"/>
        </w:numPr>
        <w:spacing w:after="20"/>
      </w:pPr>
      <w:r>
        <w:t xml:space="preserve">Native and partner connectors</w:t>
      </w:r>
    </w:p>
    <w:p>
      <w:pPr>
        <w:pStyle w:val="ListParagraph"/>
        <w:numPr>
          <w:ilvl w:val="0"/>
          <w:numId w:val="2"/>
        </w:numPr>
        <w:spacing w:after="20"/>
      </w:pPr>
      <w:r>
        <w:t xml:space="preserve">Custom connector builds</w:t>
      </w:r>
    </w:p>
    <w:p>
      <w:pPr>
        <w:pStyle w:val="ListParagraph"/>
        <w:numPr>
          <w:ilvl w:val="0"/>
          <w:numId w:val="2"/>
        </w:numPr>
        <w:spacing w:after="20"/>
      </w:pPr>
      <w:r>
        <w:t xml:space="preserve">On-premises data gateway</w:t>
      </w:r>
    </w:p>
    <w:p>
      <w:pPr>
        <w:pStyle w:val="ListParagraph"/>
        <w:numPr>
          <w:ilvl w:val="0"/>
          <w:numId w:val="2"/>
        </w:numPr>
        <w:spacing w:after="20"/>
      </w:pPr>
      <w:r>
        <w:t xml:space="preserve">ERP and CRM integration</w:t>
      </w:r>
    </w:p>
    <w:p>
      <w:pPr>
        <w:pStyle w:val="ListParagraph"/>
        <w:numPr>
          <w:ilvl w:val="0"/>
          <w:numId w:val="2"/>
        </w:numPr>
        <w:spacing w:after="20"/>
      </w:pPr>
      <w:r>
        <w:t xml:space="preserve">Spreadsheet and file sources</w:t>
      </w:r>
    </w:p>
    <w:p>
      <w:pPr>
        <w:pStyle w:val="Label"/>
        <w:keepNext/>
      </w:pPr>
      <w:r>
        <w:t xml:space="preserve">Capability</w:t>
      </w:r>
    </w:p>
    <w:p>
      <w:pPr>
        <w:pStyle w:val="Heading3"/>
        <w:keepNext/>
      </w:pPr>
      <w:r>
        <w:t xml:space="preserve">On every device, and inside your own portals</w:t>
      </w:r>
    </w:p>
    <w:p>
      <w:r>
        <w:t xml:space="preserve">We design mobile layouts so reports, alerts and annotations work properly on phones and tablets. Where customers or investors need access, we embed branded dashboards in your web apps and portals through Power BI Embedded, on capacity-based licensing that keeps external distribution affordable.</w:t>
      </w:r>
    </w:p>
    <w:p>
      <w:pPr>
        <w:pStyle w:val="Label"/>
        <w:keepNext/>
      </w:pPr>
      <w:r>
        <w:t xml:space="preserve">Key capabilities</w:t>
      </w:r>
    </w:p>
    <w:p>
      <w:pPr>
        <w:pStyle w:val="ListParagraph"/>
        <w:numPr>
          <w:ilvl w:val="0"/>
          <w:numId w:val="2"/>
        </w:numPr>
        <w:spacing w:after="20"/>
      </w:pPr>
      <w:r>
        <w:t xml:space="preserve">Power BI mobile apps</w:t>
      </w:r>
    </w:p>
    <w:p>
      <w:pPr>
        <w:pStyle w:val="ListParagraph"/>
        <w:numPr>
          <w:ilvl w:val="0"/>
          <w:numId w:val="2"/>
        </w:numPr>
        <w:spacing w:after="20"/>
      </w:pPr>
      <w:r>
        <w:t xml:space="preserve">Data-driven alerts</w:t>
      </w:r>
    </w:p>
    <w:p>
      <w:pPr>
        <w:pStyle w:val="ListParagraph"/>
        <w:numPr>
          <w:ilvl w:val="0"/>
          <w:numId w:val="2"/>
        </w:numPr>
        <w:spacing w:after="20"/>
      </w:pPr>
      <w:r>
        <w:t xml:space="preserve">Mobile-optimised layouts</w:t>
      </w:r>
    </w:p>
    <w:p>
      <w:pPr>
        <w:pStyle w:val="ListParagraph"/>
        <w:numPr>
          <w:ilvl w:val="0"/>
          <w:numId w:val="2"/>
        </w:numPr>
        <w:spacing w:after="20"/>
      </w:pPr>
      <w:r>
        <w:t xml:space="preserve">Embedded analytics</w:t>
      </w:r>
    </w:p>
    <w:p>
      <w:pPr>
        <w:pStyle w:val="ListParagraph"/>
        <w:numPr>
          <w:ilvl w:val="0"/>
          <w:numId w:val="2"/>
        </w:numPr>
        <w:spacing w:after="20"/>
      </w:pPr>
      <w:r>
        <w:t xml:space="preserve">Capacity-based licensing</w:t>
      </w:r>
    </w:p>
    <w:p>
      <w:pPr>
        <w:pStyle w:val="Label"/>
        <w:keepNext/>
      </w:pPr>
      <w:r>
        <w:t xml:space="preserve">Platform layer</w:t>
      </w:r>
    </w:p>
    <w:p>
      <w:pPr>
        <w:pStyle w:val="Heading3"/>
        <w:keepNext/>
      </w:pPr>
      <w:r>
        <w:t xml:space="preserve">Data platform readiness and a medallion lakehouse</w:t>
      </w:r>
    </w:p>
    <w:p>
      <w:r>
        <w:t xml:space="preserve">We assess whether you are ready for a unified data platform, one that brings data preparation, storage and reporting into a single environment. When your data sits in five or more systems, we build a lakehouse fed by automated data pipelines, refining records through Bronze, Silver and Gold layers so every dashboard reads from one trusted set of tables.</w:t>
      </w:r>
    </w:p>
    <w:p>
      <w:pPr>
        <w:pStyle w:val="Label"/>
        <w:keepNext/>
      </w:pPr>
      <w:r>
        <w:t xml:space="preserve">Key capabilities</w:t>
      </w:r>
    </w:p>
    <w:p>
      <w:pPr>
        <w:pStyle w:val="ListParagraph"/>
        <w:numPr>
          <w:ilvl w:val="0"/>
          <w:numId w:val="2"/>
        </w:numPr>
        <w:spacing w:after="20"/>
      </w:pPr>
      <w:r>
        <w:t xml:space="preserve">Data platform readiness assessment</w:t>
      </w:r>
    </w:p>
    <w:p>
      <w:pPr>
        <w:pStyle w:val="ListParagraph"/>
        <w:numPr>
          <w:ilvl w:val="0"/>
          <w:numId w:val="2"/>
        </w:numPr>
        <w:spacing w:after="20"/>
      </w:pPr>
      <w:r>
        <w:t xml:space="preserve">Automated data pipelines</w:t>
      </w:r>
    </w:p>
    <w:p>
      <w:pPr>
        <w:pStyle w:val="ListParagraph"/>
        <w:numPr>
          <w:ilvl w:val="0"/>
          <w:numId w:val="2"/>
        </w:numPr>
        <w:spacing w:after="20"/>
      </w:pPr>
      <w:r>
        <w:t xml:space="preserve">Bronze, Silver and Gold layers</w:t>
      </w:r>
    </w:p>
    <w:p>
      <w:pPr>
        <w:pStyle w:val="ListParagraph"/>
        <w:numPr>
          <w:ilvl w:val="0"/>
          <w:numId w:val="2"/>
        </w:numPr>
        <w:spacing w:after="20"/>
      </w:pPr>
      <w:r>
        <w:t xml:space="preserve">Migration planning</w:t>
      </w:r>
    </w:p>
    <w:p>
      <w:pPr>
        <w:pStyle w:val="Marker"/>
        <w:keepNext/>
      </w:pPr>
      <w:r>
        <w:t xml:space="preserve">S6 · Use cases (6 flip cards: front = title and tagline, back = detail and button) · #usecases</w:t>
      </w:r>
    </w:p>
    <w:p>
      <w:pPr>
        <w:pStyle w:val="Eyebrow"/>
        <w:keepNext/>
      </w:pPr>
      <w:r>
        <w:t xml:space="preserve">USE CASES</w:t>
      </w:r>
    </w:p>
    <w:p>
      <w:pPr>
        <w:pStyle w:val="Heading2"/>
        <w:keepNext/>
      </w:pPr>
      <w:r>
        <w:t xml:space="preserve">Dashboards Shaped Around the Decisions You Make</w:t>
      </w:r>
    </w:p>
    <w:p>
      <w:pPr>
        <w:pStyle w:val="Lede"/>
      </w:pPr>
      <w:r>
        <w:t xml:space="preserve">Our consultants begin with the KPIs a role or sector is judged on, then design the model, measures and page layout around those numbers. The same KPI-first thinking runs through our wider </w:t>
      </w:r>
      <w:hyperlink w:history="1" r:id="rIdzchy1dtjut52mnollgreo">
        <w:r>
          <w:rPr>
            <w:rStyle w:val="Hyperlink"/>
          </w:rPr>
          <w:t xml:space="preserve">data visualisation services</w:t>
        </w:r>
      </w:hyperlink>
      <w:r>
        <w:t xml:space="preserve">.</w:t>
      </w:r>
    </w:p>
    <w:p>
      <w:pPr>
        <w:pStyle w:val="Heading3"/>
        <w:keepNext/>
      </w:pPr>
      <w:r>
        <w:t xml:space="preserve">Group finance and CFOs</w:t>
      </w:r>
    </w:p>
    <w:p>
      <w:r>
        <w:rPr>
          <w:i/>
          <w:iCs/>
          <w:color w:val="005A77"/>
        </w:rPr>
        <w:t xml:space="preserve">Group consolidation and variance without spreadsheet stitching</w:t>
      </w:r>
    </w:p>
    <w:p>
      <w:r>
        <w:t xml:space="preserve">Group P&amp;L, balance sheet and cash flow roll up from every entity, across AED, USD, SAR, EUR and more, with budget variance and forecasts next to actuals. Our chartered accountants design intercompany eliminations, FX conversion and IFRS segment views so they stand up to audit.</w:t>
      </w:r>
    </w:p>
    <w:p>
      <w:pPr>
        <w:pStyle w:val="Button"/>
      </w:pPr>
      <w:r>
        <w:rPr>
          <w:b/>
          <w:bCs/>
        </w:rPr>
        <w:t xml:space="preserve">Button: </w:t>
      </w:r>
      <w:r>
        <w:t xml:space="preserve">Discuss group reporting</w:t>
      </w:r>
      <w:r>
        <w:rPr>
          <w:color w:val="4B5563"/>
        </w:rPr>
        <w:t xml:space="preserve">  →  #contact</w:t>
      </w:r>
    </w:p>
    <w:p>
      <w:pPr>
        <w:pStyle w:val="Heading3"/>
        <w:keepNext/>
      </w:pPr>
      <w:r>
        <w:t xml:space="preserve">Corporate Tax and VAT</w:t>
      </w:r>
    </w:p>
    <w:p>
      <w:r>
        <w:rPr>
          <w:i/>
          <w:iCs/>
          <w:color w:val="005A77"/>
        </w:rPr>
        <w:t xml:space="preserve">Tax exposure tracked monthly, long before the return is due</w:t>
      </w:r>
    </w:p>
    <w:p>
      <w:r>
        <w:t xml:space="preserve">We track taxable income, IAS 12 deferred tax, transfer pricing and VAT returns, with free zone and mainland results kept apart. With our </w:t>
      </w:r>
      <w:hyperlink w:history="1" r:id="rIdsczuvrsbgqacf2tdvaeox">
        <w:r>
          <w:rPr>
            <w:rStyle w:val="Hyperlink"/>
          </w:rPr>
          <w:t xml:space="preserve">UAE Corporate Tax advisory</w:t>
        </w:r>
      </w:hyperlink>
      <w:r>
        <w:t xml:space="preserve"> practice in the same firm, tax specialists set the logic behind every figure.</w:t>
      </w:r>
    </w:p>
    <w:p>
      <w:pPr>
        <w:pStyle w:val="Button"/>
      </w:pPr>
      <w:r>
        <w:rPr>
          <w:b/>
          <w:bCs/>
        </w:rPr>
        <w:t xml:space="preserve">Button: </w:t>
      </w:r>
      <w:r>
        <w:t xml:space="preserve">Discuss tax dashboards</w:t>
      </w:r>
      <w:r>
        <w:rPr>
          <w:color w:val="4B5563"/>
        </w:rPr>
        <w:t xml:space="preserve">  →  #contact</w:t>
      </w:r>
    </w:p>
    <w:p>
      <w:pPr>
        <w:pStyle w:val="Heading3"/>
        <w:keepNext/>
      </w:pPr>
      <w:r>
        <w:t xml:space="preserve">Real estate and development</w:t>
      </w:r>
    </w:p>
    <w:p>
      <w:r>
        <w:rPr>
          <w:i/>
          <w:iCs/>
          <w:color w:val="005A77"/>
        </w:rPr>
        <w:t xml:space="preserve">Units, brokers and collections tracked from EOI onwards</w:t>
      </w:r>
    </w:p>
    <w:p>
      <w:r>
        <w:t xml:space="preserve">Dashboards cover expressions of interest, deal pipeline, lead conversion, unit availability, payment plans, broker performance and DLD compliance. We land CRM and ERP data in a lakehouse first and match them unit by unit, so a sold unit counts once, whichever team reports it.</w:t>
      </w:r>
    </w:p>
    <w:p>
      <w:pPr>
        <w:pStyle w:val="Button"/>
      </w:pPr>
      <w:r>
        <w:rPr>
          <w:b/>
          <w:bCs/>
        </w:rPr>
        <w:t xml:space="preserve">Button: </w:t>
      </w:r>
      <w:r>
        <w:t xml:space="preserve">Discuss property analytics</w:t>
      </w:r>
      <w:r>
        <w:rPr>
          <w:color w:val="4B5563"/>
        </w:rPr>
        <w:t xml:space="preserve">  →  #contact</w:t>
      </w:r>
    </w:p>
    <w:p>
      <w:pPr>
        <w:pStyle w:val="Heading3"/>
        <w:keepNext/>
      </w:pPr>
      <w:r>
        <w:t xml:space="preserve">Chief Data Officer</w:t>
      </w:r>
    </w:p>
    <w:p>
      <w:r>
        <w:rPr>
          <w:i/>
          <w:iCs/>
          <w:color w:val="005A77"/>
        </w:rPr>
        <w:t xml:space="preserve">Clear ownership of data, from capture to boardroom</w:t>
      </w:r>
    </w:p>
    <w:p>
      <w:r>
        <w:t xml:space="preserve">We help put governance frameworks, accountability, compliance controls and better data capture in place, activate data across channels and business units, and shape a roadmap tied to strategy. That builds a data-driven culture and lets you digitise processes at a scale the organisation can sustain.</w:t>
      </w:r>
    </w:p>
    <w:p>
      <w:pPr>
        <w:pStyle w:val="Button"/>
      </w:pPr>
      <w:r>
        <w:rPr>
          <w:b/>
          <w:bCs/>
        </w:rPr>
        <w:t xml:space="preserve">Button: </w:t>
      </w:r>
      <w:r>
        <w:t xml:space="preserve">Talk to our team</w:t>
      </w:r>
      <w:r>
        <w:rPr>
          <w:color w:val="4B5563"/>
        </w:rPr>
        <w:t xml:space="preserve">  →  #contact</w:t>
      </w:r>
    </w:p>
    <w:p>
      <w:pPr>
        <w:pStyle w:val="Heading3"/>
        <w:keepNext/>
      </w:pPr>
      <w:r>
        <w:t xml:space="preserve">Chief Marketing Officer</w:t>
      </w:r>
    </w:p>
    <w:p>
      <w:r>
        <w:rPr>
          <w:i/>
          <w:iCs/>
          <w:color w:val="005A77"/>
        </w:rPr>
        <w:t xml:space="preserve">Channel spend linked to what customers actually buy</w:t>
      </w:r>
    </w:p>
    <w:p>
      <w:r>
        <w:t xml:space="preserve">CRM, e-commerce and campaign data meet in a 360-degree customer view, from which we report omnichannel performance, cohort buying behaviour and segment response. Media teams compare DSPs, SSPs and ad channels on shared revenue measures, which sharpens targeting for the next campaign.</w:t>
      </w:r>
    </w:p>
    <w:p>
      <w:pPr>
        <w:pStyle w:val="Button"/>
      </w:pPr>
      <w:r>
        <w:rPr>
          <w:b/>
          <w:bCs/>
        </w:rPr>
        <w:t xml:space="preserve">Button: </w:t>
      </w:r>
      <w:r>
        <w:t xml:space="preserve">Talk to our team</w:t>
      </w:r>
      <w:r>
        <w:rPr>
          <w:color w:val="4B5563"/>
        </w:rPr>
        <w:t xml:space="preserve">  →  #contact</w:t>
      </w:r>
    </w:p>
    <w:p>
      <w:pPr>
        <w:pStyle w:val="Heading3"/>
        <w:keepNext/>
      </w:pPr>
      <w:r>
        <w:t xml:space="preserve">Chief Analytics Officer</w:t>
      </w:r>
    </w:p>
    <w:p>
      <w:r>
        <w:rPr>
          <w:i/>
          <w:iCs/>
          <w:color w:val="005A77"/>
        </w:rPr>
        <w:t xml:space="preserve">Analytics strategy tied to commercial return</w:t>
      </w:r>
    </w:p>
    <w:p>
      <w:r>
        <w:t xml:space="preserve">We align business objectives with what the technology can deliver, then turn raw enterprise data into action: spotting blue-ocean market opportunities and feeding competitive intelligence and data monetisation plans. Forecasting and next-best-action models come through our </w:t>
      </w:r>
      <w:r>
        <w:rPr>
          <w:u w:val="dotted"/>
        </w:rPr>
        <w:t xml:space="preserve">advanced analytics services</w:t>
      </w:r>
      <w:r>
        <w:t xml:space="preserve">.</w:t>
      </w:r>
    </w:p>
    <w:p>
      <w:pPr>
        <w:pStyle w:val="Button"/>
      </w:pPr>
      <w:r>
        <w:rPr>
          <w:b/>
          <w:bCs/>
        </w:rPr>
        <w:t xml:space="preserve">Button: </w:t>
      </w:r>
      <w:r>
        <w:t xml:space="preserve">Talk to our team</w:t>
      </w:r>
      <w:r>
        <w:rPr>
          <w:color w:val="4B5563"/>
        </w:rPr>
        <w:t xml:space="preserve">  →  #contact</w:t>
      </w:r>
    </w:p>
    <w:p>
      <w:pPr>
        <w:pStyle w:val="Label"/>
        <w:keepNext/>
      </w:pPr>
      <w:r>
        <w:t xml:space="preserve">Sectors we also work with:</w:t>
      </w:r>
    </w:p>
    <w:p>
      <w:r>
        <w:t xml:space="preserve">Real Estate  ·  Construction  ·  Hospitality  ·  Trading  ·  Financial Services  ·  Healthcare  ·  Retail  ·  Logistics  ·  Manufacturing  ·  Wholesale Distribution  ·  Government  ·  Education</w:t>
      </w:r>
    </w:p>
    <w:p>
      <w:pPr>
        <w:pStyle w:val="Marker"/>
        <w:keepNext/>
      </w:pPr>
      <w:r>
        <w:t xml:space="preserve">S7 · HLB HAMT's Power BI Services (numbered offerings 01 to 06) · #services</w:t>
      </w:r>
    </w:p>
    <w:p>
      <w:pPr>
        <w:pStyle w:val="Eyebrow"/>
        <w:keepNext/>
      </w:pPr>
      <w:r>
        <w:t xml:space="preserve">WHAT WE DO</w:t>
      </w:r>
    </w:p>
    <w:p>
      <w:pPr>
        <w:pStyle w:val="Heading2"/>
        <w:keepNext/>
      </w:pPr>
      <w:r>
        <w:t xml:space="preserve">HLB HAMT's Power BI Services</w:t>
      </w:r>
    </w:p>
    <w:p>
      <w:pPr>
        <w:pStyle w:val="Lede"/>
      </w:pPr>
      <w:r>
        <w:t xml:space="preserve">We handle every stage of a Power BI programme ourselves, from strategy through to post-launch support, and most clients use several of the services below. Your engagement model, covered further down, decides the mix.</w:t>
      </w:r>
    </w:p>
    <w:p>
      <w:pPr>
        <w:pStyle w:val="Number"/>
        <w:keepNext/>
      </w:pPr>
      <w:r>
        <w:t xml:space="preserve">01</w:t>
      </w:r>
    </w:p>
    <w:p>
      <w:pPr>
        <w:pStyle w:val="Heading3"/>
        <w:keepNext/>
      </w:pPr>
      <w:r>
        <w:t xml:space="preserve">Strategy, discovery and licence planning</w:t>
      </w:r>
    </w:p>
    <w:p>
      <w:r>
        <w:t xml:space="preserve">We start from your business goals, data needs and reporting expectations, then translate objectives into KPIs with agreed calculation rules and spot where each role lacks information. Our consultants assess BI readiness and design a scalable architecture. As a Power BI reselling partner, we also recommend and supply the right licence mix: Pro, Premium Per User or capacity.</w:t>
      </w:r>
    </w:p>
    <w:p>
      <w:pPr>
        <w:pStyle w:val="Number"/>
        <w:keepNext/>
      </w:pPr>
      <w:r>
        <w:t xml:space="preserve">02</w:t>
      </w:r>
    </w:p>
    <w:p>
      <w:pPr>
        <w:pStyle w:val="Heading3"/>
        <w:keepNext/>
      </w:pPr>
      <w:r>
        <w:t xml:space="preserve">Data integration and preparation</w:t>
      </w:r>
    </w:p>
    <w:p>
      <w:r>
        <w:t xml:space="preserve">Our engineers build automated ETL and ELT data pipelines, shape data marts and warehouse layers, and configure connectors and the on-premises gateway, writing custom connectors for legacy systems. We configure scheduled and incremental refresh, add near-real-time feeds where a process needs them, and move to a lakehouse once volume and system count call for it.</w:t>
      </w:r>
    </w:p>
    <w:p>
      <w:pPr>
        <w:pStyle w:val="Number"/>
        <w:keepNext/>
      </w:pPr>
      <w:r>
        <w:t xml:space="preserve">03</w:t>
      </w:r>
    </w:p>
    <w:p>
      <w:pPr>
        <w:pStyle w:val="Heading3"/>
        <w:keepNext/>
      </w:pPr>
      <w:r>
        <w:t xml:space="preserve">KPI-centric modelling and dashboard development</w:t>
      </w:r>
    </w:p>
    <w:p>
      <w:r>
        <w:t xml:space="preserve">We work model-first, not visual-first: semantic models with consistent KPI definitions and tested DAX come ahead of the first chart. On that base we build executive dashboards and analyst reports with drill-through, cross-filtering, slicers and bookmarks, plus mobile layouts and Arabic right-to-left design. See </w:t>
      </w:r>
      <w:hyperlink w:history="1" r:id="rIdcbfxbnnffpwpjepid5_qi">
        <w:r>
          <w:rPr>
            <w:rStyle w:val="Hyperlink"/>
          </w:rPr>
          <w:t xml:space="preserve">Power BI dashboard development</w:t>
        </w:r>
      </w:hyperlink>
      <w:r>
        <w:t xml:space="preserve"> for the full scope of this work.</w:t>
      </w:r>
    </w:p>
    <w:p>
      <w:pPr>
        <w:pStyle w:val="Number"/>
        <w:keepNext/>
      </w:pPr>
      <w:r>
        <w:t xml:space="preserve">04</w:t>
      </w:r>
    </w:p>
    <w:p>
      <w:pPr>
        <w:pStyle w:val="Heading3"/>
        <w:keepNext/>
      </w:pPr>
      <w:r>
        <w:t xml:space="preserve">Performance tuning, security and governance</w:t>
      </w:r>
    </w:p>
    <w:p>
      <w:r>
        <w:t xml:space="preserve">When reports drag, we tune across the pipeline, data model and semantic layers, cutting query load, adding aggregation tables over large fact tables and replacing heavy measures with efficient DAX patterns. On the governance side, we implement row-level security, workspace governance and access controls, so each person sees only the data their role allows and publishing stays controlled.</w:t>
      </w:r>
    </w:p>
    <w:p>
      <w:pPr>
        <w:pStyle w:val="Number"/>
        <w:keepNext/>
      </w:pPr>
      <w:r>
        <w:t xml:space="preserve">05</w:t>
      </w:r>
    </w:p>
    <w:p>
      <w:pPr>
        <w:pStyle w:val="Heading3"/>
        <w:keepNext/>
      </w:pPr>
      <w:r>
        <w:t xml:space="preserve">Migration, embedded analytics and data platform readiness</w:t>
      </w:r>
    </w:p>
    <w:p>
      <w:r>
        <w:t xml:space="preserve">We migrate reports from other BI tools to Power BI, carrying your business logic across and redesigning each visual for the new platform instead of copying screens one for one. We also move reporting off spreadsheets, embed dashboards in customer and investor portals with Power BI Embedded, and assess readiness for a unified data platform so any move happens in planned stages.</w:t>
      </w:r>
    </w:p>
    <w:p>
      <w:pPr>
        <w:pStyle w:val="Number"/>
        <w:keepNext/>
      </w:pPr>
      <w:r>
        <w:t xml:space="preserve">06</w:t>
      </w:r>
    </w:p>
    <w:p>
      <w:pPr>
        <w:pStyle w:val="Heading3"/>
        <w:keepNext/>
      </w:pPr>
      <w:r>
        <w:t xml:space="preserve">Training and continuous support</w:t>
      </w:r>
    </w:p>
    <w:p>
      <w:r>
        <w:t xml:space="preserve">We train in three tracks: Executive, for reading and questioning dashboards; Business User, for building reports; and Developer, for data modelling and advanced DAX. Sessions run on-site in Dubai, remotely or in a hybrid format, and can be delivered in Arabic. Contextual documentation written around your own reports, plus ongoing support, keeps your team self-sufficient after handover.</w:t>
      </w:r>
    </w:p>
    <w:p>
      <w:pPr>
        <w:pStyle w:val="Marker"/>
        <w:keepNext/>
      </w:pPr>
      <w:r>
        <w:t xml:space="preserve">S8 · Mid-page CTA 1</w:t>
      </w:r>
    </w:p>
    <w:p>
      <w:pPr>
        <w:pStyle w:val="Heading2"/>
        <w:keepNext/>
      </w:pPr>
      <w:r>
        <w:t xml:space="preserve">See Your Own Data in Power BI Before You Commit</w:t>
      </w:r>
    </w:p>
    <w:p>
      <w:r>
        <w:t xml:space="preserve">Watch us work through sample figures or an extract from your own systems in a live session.</w:t>
      </w:r>
    </w:p>
    <w:p>
      <w:pPr>
        <w:pStyle w:val="Button"/>
      </w:pPr>
      <w:r>
        <w:rPr>
          <w:b/>
          <w:bCs/>
        </w:rPr>
        <w:t xml:space="preserve">Button: </w:t>
      </w:r>
      <w:r>
        <w:t xml:space="preserve">Schedule a live demo</w:t>
      </w:r>
      <w:r>
        <w:rPr>
          <w:color w:val="4B5563"/>
        </w:rPr>
        <w:t xml:space="preserve">  →  #contact</w:t>
      </w:r>
    </w:p>
    <w:p>
      <w:pPr>
        <w:pStyle w:val="Marker"/>
        <w:keepNext/>
      </w:pPr>
      <w:r>
        <w:t xml:space="preserve">S9 · 5-step proof of concept (highlighted band) · #methodology</w:t>
      </w:r>
    </w:p>
    <w:p>
      <w:pPr>
        <w:pStyle w:val="Eyebrow"/>
        <w:keepNext/>
      </w:pPr>
      <w:r>
        <w:t xml:space="preserve">HOW WE DELIVER</w:t>
      </w:r>
    </w:p>
    <w:p>
      <w:pPr>
        <w:pStyle w:val="Heading2"/>
        <w:keepNext/>
      </w:pPr>
      <w:bookmarkStart w:name="methodology" w:id="1"/>
      <w:r>
        <w:t xml:space="preserve">A Working Power BI Dashboard on Your Data in 7 Days</w:t>
      </w:r>
      <w:r>
        <w:rPr>
          <w:vertAlign w:val="superscript"/>
        </w:rPr>
        <w:t xml:space="preserve">6</w:t>
      </w:r>
      <w:bookmarkEnd w:id="1"/>
    </w:p>
    <w:p>
      <w:pPr>
        <w:pStyle w:val="Lede"/>
      </w:pPr>
      <w:r>
        <w:t xml:space="preserve">We prove the value on your own data for a defined use case, measured against success criteria agreed at the outset, while the investment is still small. Your next decision then rests on pages your team has clicked through itself.</w:t>
      </w:r>
    </w:p>
    <w:p>
      <w:pPr>
        <w:pStyle w:val="Number"/>
        <w:keepNext/>
      </w:pPr>
      <w:r>
        <w:t xml:space="preserve">Step 1</w:t>
      </w:r>
    </w:p>
    <w:p>
      <w:pPr>
        <w:pStyle w:val="Heading3"/>
        <w:keepNext/>
      </w:pPr>
      <w:r>
        <w:t xml:space="preserve">Requirements</w:t>
      </w:r>
    </w:p>
    <w:p>
      <w:r>
        <w:t xml:space="preserve">A structured workshop fixes your objectives, the KPIs that matter most, the data sources involved and how success will be measured.</w:t>
      </w:r>
    </w:p>
    <w:p>
      <w:pPr>
        <w:pStyle w:val="Number"/>
        <w:keepNext/>
      </w:pPr>
      <w:r>
        <w:t xml:space="preserve">Step 2</w:t>
      </w:r>
    </w:p>
    <w:p>
      <w:pPr>
        <w:pStyle w:val="Heading3"/>
        <w:keepNext/>
      </w:pPr>
      <w:r>
        <w:t xml:space="preserve">Data preparation</w:t>
      </w:r>
    </w:p>
    <w:p>
      <w:r>
        <w:t xml:space="preserve">We ingest, cleanse and transform your extracts, then build optimised data models ready for fast reporting.</w:t>
      </w:r>
    </w:p>
    <w:p>
      <w:pPr>
        <w:pStyle w:val="Number"/>
        <w:keepNext/>
      </w:pPr>
      <w:r>
        <w:t xml:space="preserve">Step 3</w:t>
      </w:r>
    </w:p>
    <w:p>
      <w:pPr>
        <w:pStyle w:val="Heading3"/>
        <w:keepNext/>
      </w:pPr>
      <w:r>
        <w:t xml:space="preserve">Design and mockup</w:t>
      </w:r>
    </w:p>
    <w:p>
      <w:r>
        <w:t xml:space="preserve">Stakeholders review wireframes and visual mockups, and development starts only when they have approved the design.</w:t>
      </w:r>
    </w:p>
    <w:p>
      <w:pPr>
        <w:pStyle w:val="Number"/>
        <w:keepNext/>
      </w:pPr>
      <w:r>
        <w:t xml:space="preserve">Step 4</w:t>
      </w:r>
    </w:p>
    <w:p>
      <w:pPr>
        <w:pStyle w:val="Heading3"/>
        <w:keepNext/>
      </w:pPr>
      <w:r>
        <w:t xml:space="preserve">Development</w:t>
      </w:r>
    </w:p>
    <w:p>
      <w:r>
        <w:t xml:space="preserve">Our developers build the interactive reports, dashboards and visuals to the approved design, on the step-two models.</w:t>
      </w:r>
    </w:p>
    <w:p>
      <w:pPr>
        <w:pStyle w:val="Number"/>
        <w:keepNext/>
      </w:pPr>
      <w:r>
        <w:t xml:space="preserve">Step 5</w:t>
      </w:r>
    </w:p>
    <w:p>
      <w:pPr>
        <w:pStyle w:val="Heading3"/>
        <w:keepNext/>
      </w:pPr>
      <w:r>
        <w:t xml:space="preserve">Delivery and review</w:t>
      </w:r>
    </w:p>
    <w:p>
      <w:r>
        <w:t xml:space="preserve">Users get hands-on training and give feedback, one revision round follows, and we publish the finished Power BI app to your tenant.</w:t>
      </w:r>
    </w:p>
    <w:p>
      <w:pPr>
        <w:pStyle w:val="Button"/>
      </w:pPr>
      <w:r>
        <w:rPr>
          <w:b/>
          <w:bCs/>
        </w:rPr>
        <w:t xml:space="preserve">Button: </w:t>
      </w:r>
      <w:r>
        <w:t xml:space="preserve">Request your proof of concept</w:t>
      </w:r>
      <w:r>
        <w:rPr>
          <w:color w:val="4B5563"/>
        </w:rPr>
        <w:t xml:space="preserve">  →  #contact</w:t>
      </w:r>
    </w:p>
    <w:p>
      <w:pPr>
        <w:pStyle w:val="Marker"/>
        <w:keepNext/>
      </w:pPr>
      <w:r>
        <w:t xml:space="preserve">S10 · Engagement models (4-tab matrix: Explore, Implement, Extend, Support) · #packages</w:t>
      </w:r>
    </w:p>
    <w:p>
      <w:pPr>
        <w:pStyle w:val="Eyebrow"/>
        <w:keepNext/>
      </w:pPr>
      <w:r>
        <w:t xml:space="preserve">ENGAGEMENT MODELS</w:t>
      </w:r>
    </w:p>
    <w:p>
      <w:pPr>
        <w:pStyle w:val="Heading2"/>
        <w:keepNext/>
      </w:pPr>
      <w:bookmarkStart w:name="packages" w:id="2"/>
      <w:r>
        <w:t xml:space="preserve">Engagement Models That Match Where You Are Today</w:t>
      </w:r>
      <w:bookmarkEnd w:id="2"/>
    </w:p>
    <w:p>
      <w:pPr>
        <w:pStyle w:val="Lede"/>
      </w:pPr>
      <w:r>
        <w:t xml:space="preserve">We offer four ways in: explore before you spend, implement in phases, extend your own team, or hand us the ongoing care. You can switch models as your needs change.</w:t>
      </w:r>
    </w:p>
    <w:p>
      <w:pPr>
        <w:pStyle w:val="SubBlock"/>
        <w:keepNext/>
      </w:pPr>
      <w:r>
        <w:t xml:space="preserve">Tab 1: Explore</w:t>
      </w:r>
    </w:p>
    <w:p>
      <w:pPr>
        <w:keepNext/>
      </w:pPr>
      <w:r>
        <w:rPr>
          <w:i/>
          <w:iCs/>
          <w:color w:val="005A77"/>
        </w:rPr>
        <w:t xml:space="preserve">Proof on real numbers first, a bigger build later.</w:t>
      </w:r>
    </w:p>
    <w:p>
      <w:pPr>
        <w:pStyle w:val="Heading3"/>
        <w:keepNext/>
      </w:pPr>
      <w:r>
        <w:t xml:space="preserve">Live demo</w:t>
      </w:r>
    </w:p>
    <w:p>
      <w:r>
        <w:t xml:space="preserve">A consultant-led session, at no cost, on sample data or a dataset of your choosing.</w:t>
      </w:r>
    </w:p>
    <w:p>
      <w:pPr>
        <w:pStyle w:val="Heading3"/>
        <w:keepNext/>
      </w:pPr>
      <w:r>
        <w:t xml:space="preserve">Proof of concept</w:t>
      </w:r>
    </w:p>
    <w:p>
      <w:r>
        <w:t xml:space="preserve">A scoped build on your data and KPIs, following the five steps </w:t>
      </w:r>
      <w:hyperlink w:history="1" w:anchor="methodology">
        <w:r>
          <w:rPr>
            <w:rStyle w:val="Hyperlink"/>
          </w:rPr>
          <w:t xml:space="preserve">above</w:t>
        </w:r>
      </w:hyperlink>
      <w:r>
        <w:t xml:space="preserve">.</w:t>
      </w:r>
    </w:p>
    <w:p>
      <w:pPr>
        <w:pStyle w:val="SubBlock"/>
        <w:keepNext/>
      </w:pPr>
      <w:r>
        <w:t xml:space="preserve">Tab 2: Implement</w:t>
      </w:r>
    </w:p>
    <w:p>
      <w:pPr>
        <w:keepNext/>
      </w:pPr>
      <w:r>
        <w:rPr>
          <w:i/>
          <w:iCs/>
          <w:color w:val="005A77"/>
        </w:rPr>
        <w:t xml:space="preserve">Rollouts sized to one department, several, or the whole group.</w:t>
      </w:r>
    </w:p>
    <w:p>
      <w:pPr>
        <w:pStyle w:val="Heading3"/>
        <w:keepNext/>
      </w:pPr>
      <w:r>
        <w:t xml:space="preserve">Single-department rollout</w:t>
      </w:r>
    </w:p>
    <w:p>
      <w:r>
        <w:t xml:space="preserve">Models, dashboards and access rules for one function, such as finance or sales.</w:t>
      </w:r>
    </w:p>
    <w:p>
      <w:pPr>
        <w:pStyle w:val="Heading3"/>
        <w:keepNext/>
      </w:pPr>
      <w:r>
        <w:t xml:space="preserve">Multi-department programme</w:t>
      </w:r>
    </w:p>
    <w:p>
      <w:r>
        <w:t xml:space="preserve">Shared semantic models and a workspace structure that several departments build on together.</w:t>
      </w:r>
    </w:p>
    <w:p>
      <w:pPr>
        <w:pStyle w:val="Heading3"/>
        <w:keepNext/>
      </w:pPr>
      <w:r>
        <w:t xml:space="preserve">Enterprise platform with a data lakehouse</w:t>
      </w:r>
    </w:p>
    <w:p>
      <w:r>
        <w:t xml:space="preserve">Group reporting on a medallion lakehouse, delivered in phases under central governance.</w:t>
      </w:r>
    </w:p>
    <w:p>
      <w:pPr>
        <w:pStyle w:val="SubBlock"/>
        <w:keepNext/>
      </w:pPr>
      <w:r>
        <w:t xml:space="preserve">Tab 3: Extend</w:t>
      </w:r>
    </w:p>
    <w:p>
      <w:pPr>
        <w:keepNext/>
      </w:pPr>
      <w:r>
        <w:rPr>
          <w:i/>
          <w:iCs/>
          <w:color w:val="005A77"/>
        </w:rPr>
        <w:t xml:space="preserve">Extra hands for the parts your team hasn't covered yet.</w:t>
      </w:r>
    </w:p>
    <w:p>
      <w:pPr>
        <w:pStyle w:val="Heading3"/>
        <w:keepNext/>
      </w:pPr>
      <w:r>
        <w:t xml:space="preserve">Connector help</w:t>
      </w:r>
    </w:p>
    <w:p>
      <w:r>
        <w:t xml:space="preserve">Setup for sources your reports can't currently reach, from standard connectors to custom builds.</w:t>
      </w:r>
    </w:p>
    <w:p>
      <w:pPr>
        <w:pStyle w:val="Heading3"/>
        <w:keepNext/>
      </w:pPr>
      <w:r>
        <w:t xml:space="preserve">Augmented expertise</w:t>
      </w:r>
    </w:p>
    <w:p>
      <w:r>
        <w:t xml:space="preserve">A Power BI solutions expert working inside your team, on a short-term contract or retainer.</w:t>
      </w:r>
    </w:p>
    <w:p>
      <w:pPr>
        <w:pStyle w:val="SubBlock"/>
        <w:keepNext/>
      </w:pPr>
      <w:r>
        <w:t xml:space="preserve">Tab 4: Support</w:t>
      </w:r>
    </w:p>
    <w:p>
      <w:pPr>
        <w:keepNext/>
      </w:pPr>
      <w:r>
        <w:rPr>
          <w:i/>
          <w:iCs/>
          <w:color w:val="005A77"/>
        </w:rPr>
        <w:t xml:space="preserve">Keeping live reports fast, accurate and secure.</w:t>
      </w:r>
    </w:p>
    <w:p>
      <w:pPr>
        <w:pStyle w:val="Heading3"/>
        <w:keepNext/>
      </w:pPr>
      <w:r>
        <w:t xml:space="preserve">Performance monitoring and troubleshooting</w:t>
      </w:r>
    </w:p>
    <w:p>
      <w:r>
        <w:t xml:space="preserve">We investigate refresh failures, gateway connectivity problems and slow pages, then fix the root cause.</w:t>
      </w:r>
    </w:p>
    <w:p>
      <w:pPr>
        <w:pStyle w:val="Heading3"/>
        <w:keepNext/>
      </w:pPr>
      <w:r>
        <w:t xml:space="preserve">Quarterly health checks</w:t>
      </w:r>
    </w:p>
    <w:p>
      <w:r>
        <w:t xml:space="preserve">A review every three months of models, refresh schedules, capacity use and security settings.</w:t>
      </w:r>
    </w:p>
    <w:p>
      <w:pPr>
        <w:pStyle w:val="Heading3"/>
        <w:keepNext/>
      </w:pPr>
      <w:r>
        <w:t xml:space="preserve">New dashboards as needs change</w:t>
      </w:r>
    </w:p>
    <w:p>
      <w:r>
        <w:t xml:space="preserve">Extra pages, measures and reports as the business starts asking different questions.</w:t>
      </w:r>
    </w:p>
    <w:p>
      <w:pPr>
        <w:pStyle w:val="Heading3"/>
        <w:keepNext/>
      </w:pPr>
      <w:r>
        <w:t xml:space="preserve">Licence advisory and data platform migration</w:t>
      </w:r>
    </w:p>
    <w:p>
      <w:r>
        <w:t xml:space="preserve">Right-sizing licences, administering your tenant and planning a staged move to a unified data platform.</w:t>
      </w:r>
    </w:p>
    <w:p>
      <w:pPr>
        <w:pStyle w:val="Heading3"/>
        <w:keepNext/>
      </w:pPr>
      <w:r>
        <w:t xml:space="preserve">Security and access reviews</w:t>
      </w:r>
    </w:p>
    <w:p>
      <w:r>
        <w:t xml:space="preserve">Row-level security and workspace permissions rechecked as people join, move or leave.</w:t>
      </w:r>
    </w:p>
    <w:p>
      <w:pPr>
        <w:pStyle w:val="Marker"/>
        <w:keepNext/>
      </w:pPr>
      <w:r>
        <w:t xml:space="preserve">S11 · HLB HAMT advantage (6-tile credential grid)</w:t>
      </w:r>
    </w:p>
    <w:p>
      <w:pPr>
        <w:pStyle w:val="Eyebrow"/>
        <w:keepNext/>
      </w:pPr>
      <w:r>
        <w:t xml:space="preserve">HLB HAMT ADVANTAGE</w:t>
      </w:r>
    </w:p>
    <w:p>
      <w:pPr>
        <w:pStyle w:val="Heading2"/>
        <w:keepNext/>
      </w:pPr>
      <w:r>
        <w:t xml:space="preserve">Why UAE Businesses Choose HLB HAMT for Power BI Services</w:t>
      </w:r>
    </w:p>
    <w:p>
      <w:pPr>
        <w:pStyle w:val="Lede"/>
      </w:pPr>
      <w:r>
        <w:t xml:space="preserve">We expect to be judged the way any Power BI consulting company should be: on whether your board acts on the figures we deliver.</w:t>
      </w:r>
    </w:p>
    <w:p>
      <w:pPr>
        <w:pStyle w:val="Heading3"/>
        <w:keepNext/>
      </w:pPr>
      <w:r>
        <w:t xml:space="preserve">Power BI reselling partner in the UAE</w:t>
      </w:r>
    </w:p>
    <w:p>
      <w:r>
        <w:t xml:space="preserve">We supply your licences, and our own staff handle everything from data engineering to aftercare.</w:t>
      </w:r>
    </w:p>
    <w:p>
      <w:pPr>
        <w:pStyle w:val="Heading3"/>
        <w:keepNext/>
      </w:pPr>
      <w:r>
        <w:t xml:space="preserve">Audit-ready financial logic</w:t>
      </w:r>
    </w:p>
    <w:p>
      <w:r>
        <w:t xml:space="preserve">Finance and technology under one roof, with Corporate Tax, VAT, IFRS and PDPL expertise inside the model.</w:t>
      </w:r>
    </w:p>
    <w:p>
      <w:pPr>
        <w:pStyle w:val="Heading3"/>
        <w:keepNext/>
      </w:pPr>
      <w:r>
        <w:t xml:space="preserve">Low-risk start</w:t>
      </w:r>
    </w:p>
    <w:p>
      <w:r>
        <w:t xml:space="preserve">Begin with a working dashboard on your own data, then scale once it proves itself.</w:t>
      </w:r>
    </w:p>
    <w:p>
      <w:pPr>
        <w:pStyle w:val="Heading3"/>
        <w:keepNext/>
      </w:pPr>
      <w:r>
        <w:t xml:space="preserve">Dual intelligence</w:t>
      </w:r>
    </w:p>
    <w:p>
      <w:r>
        <w:t xml:space="preserve">Booked revenue in Power BI, open-deal scoring in </w:t>
      </w:r>
      <w:hyperlink w:history="1" r:id="rIdgbdncoivgn1jknd6kemhp">
        <w:r>
          <w:rPr>
            <w:rStyle w:val="Hyperlink"/>
          </w:rPr>
          <w:t xml:space="preserve">SugarAI CRM</w:t>
        </w:r>
      </w:hyperlink>
      <w:r>
        <w:t xml:space="preserve">, both configured and maintained by our team.</w:t>
      </w:r>
    </w:p>
    <w:p>
      <w:pPr>
        <w:pStyle w:val="Heading3"/>
        <w:keepNext/>
      </w:pPr>
      <w:r>
        <w:t xml:space="preserve">Global network</w:t>
      </w:r>
    </w:p>
    <w:p>
      <w:r>
        <w:t xml:space="preserve">An HLB International member since 2007, bringing the standards and reach of a global advisory network.</w:t>
      </w:r>
      <w:r>
        <w:rPr>
          <w:vertAlign w:val="superscript"/>
        </w:rPr>
        <w:t xml:space="preserve">3</w:t>
      </w:r>
    </w:p>
    <w:p>
      <w:pPr>
        <w:pStyle w:val="Heading3"/>
        <w:keepNext/>
      </w:pPr>
      <w:r>
        <w:t xml:space="preserve">In-region team</w:t>
      </w:r>
    </w:p>
    <w:p>
      <w:r>
        <w:t xml:space="preserve">Consultants based in the Emirates, on Gulf working hours, and on-site whenever a workshop calls for it.</w:t>
      </w:r>
    </w:p>
    <w:p>
      <w:pPr>
        <w:pStyle w:val="Marker"/>
        <w:keepNext/>
      </w:pPr>
      <w:r>
        <w:t xml:space="preserve">S12 · See it in action (static visual; no video supplied)</w:t>
      </w:r>
    </w:p>
    <w:p>
      <w:pPr>
        <w:pStyle w:val="Eyebrow"/>
        <w:keepNext/>
      </w:pPr>
      <w:r>
        <w:t xml:space="preserve">See it in action</w:t>
      </w:r>
    </w:p>
    <w:p>
      <w:pPr>
        <w:pStyle w:val="Heading2"/>
        <w:keepNext/>
      </w:pPr>
      <w:r>
        <w:t xml:space="preserve">Inside an HLB HAMT Power BI Dashboard</w:t>
      </w:r>
    </w:p>
    <w:p>
      <w:pPr>
        <w:pStyle w:val="Lede"/>
      </w:pPr>
      <w:r>
        <w:t xml:space="preserve">A sample of the executive views we build, in Arabic and English, drilling from the group total to each entity with every subtotal adding up on the way down.</w:t>
      </w:r>
    </w:p>
    <w:p>
      <w:pPr>
        <w:pStyle w:val="Placeholder"/>
      </w:pPr>
      <w:r>
        <w:rPr>
          <w:b/>
          <w:bCs/>
        </w:rPr>
        <w:t xml:space="preserve">IMAGE PLACEHOLDER: </w:t>
      </w:r>
      <w:r>
        <w:t xml:space="preserve">Static dashboard screenshot or GIF to be supplied (no video provided; brief Section 10, point 5).</w:t>
      </w:r>
    </w:p>
    <w:p>
      <w:pPr>
        <w:pStyle w:val="Button"/>
      </w:pPr>
      <w:r>
        <w:rPr>
          <w:b/>
          <w:bCs/>
        </w:rPr>
        <w:t xml:space="preserve">Button: </w:t>
      </w:r>
      <w:r>
        <w:t xml:space="preserve">Book a live demo</w:t>
      </w:r>
      <w:r>
        <w:rPr>
          <w:color w:val="4B5563"/>
        </w:rPr>
        <w:t xml:space="preserve">  →  #contact</w:t>
      </w:r>
    </w:p>
    <w:p>
      <w:pPr>
        <w:pStyle w:val="Marker"/>
        <w:keepNext/>
      </w:pPr>
      <w:r>
        <w:t xml:space="preserve">S13 · Mid-page CTA 2</w:t>
      </w:r>
    </w:p>
    <w:p>
      <w:pPr>
        <w:pStyle w:val="Heading2"/>
        <w:keepNext/>
      </w:pPr>
      <w:r>
        <w:t xml:space="preserve">Map Out Your Reporting Roadmap, Free of Charge</w:t>
      </w:r>
    </w:p>
    <w:p>
      <w:r>
        <w:t xml:space="preserve">Share what you need to report on, and a Power BI solutions expert will scope sources, licences and phasing with you.</w:t>
      </w:r>
    </w:p>
    <w:p>
      <w:pPr>
        <w:pStyle w:val="Button"/>
      </w:pPr>
      <w:r>
        <w:rPr>
          <w:b/>
          <w:bCs/>
        </w:rPr>
        <w:t xml:space="preserve">Button: </w:t>
      </w:r>
      <w:r>
        <w:t xml:space="preserve">Talk to our Power BI team</w:t>
      </w:r>
      <w:r>
        <w:rPr>
          <w:color w:val="4B5563"/>
        </w:rPr>
        <w:t xml:space="preserve">  →  #contact</w:t>
      </w:r>
    </w:p>
    <w:p>
      <w:pPr>
        <w:pStyle w:val="Marker"/>
        <w:keepNext/>
      </w:pPr>
      <w:r>
        <w:t xml:space="preserve">S14 · FAQ (single accordion, first item open) · #faq</w:t>
      </w:r>
    </w:p>
    <w:p>
      <w:pPr>
        <w:pStyle w:val="Eyebrow"/>
        <w:keepNext/>
      </w:pPr>
      <w:r>
        <w:t xml:space="preserve">COMMON QUESTIONS</w:t>
      </w:r>
    </w:p>
    <w:p>
      <w:pPr>
        <w:pStyle w:val="Heading2"/>
        <w:keepNext/>
      </w:pPr>
      <w:r>
        <w:t xml:space="preserve">Questions UAE Teams Ask Before Choosing a Power BI Partner</w:t>
      </w:r>
    </w:p>
    <w:p>
      <w:pPr>
        <w:pStyle w:val="Heading3"/>
        <w:keepNext/>
      </w:pPr>
      <w:r>
        <w:t xml:space="preserve">What is the Power BI service, and how is it different from Power BI Desktop?</w:t>
      </w:r>
    </w:p>
    <w:p>
      <w:r>
        <w:t xml:space="preserve">Power BI Desktop is a free, installable application for connecting to data, modelling it and designing reports.</w:t>
      </w:r>
      <w:r>
        <w:rPr>
          <w:vertAlign w:val="superscript"/>
        </w:rPr>
        <w:t xml:space="preserve">5</w:t>
      </w:r>
      <w:r>
        <w:t xml:space="preserve"> The Power BI service runs in the browser: access rules decide who sees each published report, data refreshes on its own schedule, and related reports are grouped into apps for each audience. Report authors mostly work in Desktop; everyone else uses the cloud. We set up both, with a workspace structure matched to how your organisation shares information.</w:t>
      </w:r>
    </w:p>
    <w:p>
      <w:pPr>
        <w:pStyle w:val="Heading3"/>
        <w:keepNext/>
      </w:pPr>
      <w:r>
        <w:t xml:space="preserve">How is Power BI licensed, and what will it cost?</w:t>
      </w:r>
    </w:p>
    <w:p>
      <w:r>
        <w:t xml:space="preserve">Your total cost has three parts: licences, implementation and dashboard development, and data integration and modelling, each scaled to your scope. At the time of writing, Microsoft's list prices are US$14 per user per month for Pro and US$24 for Premium Per User, unchanged since 1 April 2025.</w:t>
      </w:r>
      <w:r>
        <w:rPr>
          <w:vertAlign w:val="superscript"/>
        </w:rPr>
        <w:t xml:space="preserve">7</w:t>
      </w:r>
      <w:r>
        <w:t xml:space="preserve"> Large deployments and external embedding run on capacity-based licensing, priced separately. As a reselling partner, we advise on the right licence mix and supply it, and our </w:t>
      </w:r>
      <w:hyperlink w:history="1" w:anchor="packages">
        <w:r>
          <w:rPr>
            <w:rStyle w:val="Hyperlink"/>
          </w:rPr>
          <w:t xml:space="preserve">engagement models</w:t>
        </w:r>
      </w:hyperlink>
      <w:r>
        <w:t xml:space="preserve"> let you start small.</w:t>
      </w:r>
    </w:p>
    <w:p>
      <w:pPr>
        <w:pStyle w:val="Heading3"/>
        <w:keepNext/>
      </w:pPr>
      <w:r>
        <w:t xml:space="preserve">Which of our systems can you connect to Power BI, and do we need a warehouse first?</w:t>
      </w:r>
    </w:p>
    <w:p>
      <w:r>
        <w:t xml:space="preserve">Most of them. Where a standard or partner-built connector exists, we use it, and we write custom connectors for legacy systems that have none. That covers accounting packages, ERP and CRM platforms, on-premises databases, cloud warehouses and REST APIs. A warehouse is not always step one. For a handful of sources, direct connection is fine. Once data spreads across five or more systems, we recommend a lakehouse so every report works from the same cleaned tables.</w:t>
      </w:r>
    </w:p>
    <w:p>
      <w:pPr>
        <w:pStyle w:val="Heading3"/>
        <w:keepNext/>
      </w:pPr>
      <w:r>
        <w:t xml:space="preserve">Can you replace our manual spreadsheet reports with Power BI?</w:t>
      </w:r>
    </w:p>
    <w:p>
      <w:r>
        <w:t xml:space="preserve">Yes. It is often the first thing clients ask us to fix. Rather than a team member copying figures between workbooks every week, data refreshes on a schedule and dashboards stay current. Through </w:t>
      </w:r>
      <w:hyperlink w:history="1" r:id="rIdai3hkavvjtxofwc2eyu0t">
        <w:r>
          <w:rPr>
            <w:rStyle w:val="Hyperlink"/>
          </w:rPr>
          <w:t xml:space="preserve">Power BI automation</w:t>
        </w:r>
      </w:hyperlink>
      <w:r>
        <w:t xml:space="preserve">, we set alerts that email a KPI's owner the moment it moves outside its agreed range. Clients in the Emirates have taken hours of weekly manual reporting off their teams. Spreadsheets stay available for anyone who prefers to analyse there.</w:t>
      </w:r>
    </w:p>
    <w:p>
      <w:pPr>
        <w:pStyle w:val="Heading3"/>
        <w:keepNext/>
      </w:pPr>
      <w:r>
        <w:t xml:space="preserve">Do you build Arabic and right-to-left dashboards?</w:t>
      </w:r>
    </w:p>
    <w:p>
      <w:r>
        <w:t xml:space="preserve">Yes. We design right-to-left from the first wireframe rather than mirroring a finished English report. Labels, filters, slicers and KPI descriptions appear in Arabic, while page layout, visual order and navigation all run right to left. We apply the same method to other right-to-left languages, such as Urdu and Persian. When you need Arabic and English editions of one report, both run on a single model, so their totals always agree.</w:t>
      </w:r>
    </w:p>
    <w:p>
      <w:pPr>
        <w:pStyle w:val="Heading3"/>
        <w:keepNext/>
      </w:pPr>
      <w:r>
        <w:t xml:space="preserve">Is our data secure, and can it stay in the UAE?</w:t>
      </w:r>
    </w:p>
    <w:p>
      <w:r>
        <w:t xml:space="preserve">We configure row-level security so people see only the records they are entitled to, and data is encrypted. Power BI falls within the scope of Microsoft's ISO/IEC 27001 and SOC 2 audits.</w:t>
      </w:r>
      <w:r>
        <w:rPr>
          <w:vertAlign w:val="superscript"/>
        </w:rPr>
        <w:t xml:space="preserve">8</w:t>
      </w:r>
      <w:r>
        <w:t xml:space="preserve"> Data can be kept in-country in the Dubai or Abu Dhabi cloud region</w:t>
      </w:r>
      <w:r>
        <w:rPr>
          <w:vertAlign w:val="superscript"/>
        </w:rPr>
        <w:t xml:space="preserve">1</w:t>
      </w:r>
      <w:r>
        <w:t xml:space="preserve">, and our </w:t>
      </w:r>
      <w:hyperlink w:history="1" r:id="rIds0_p6ksmho9mpu30qxakf">
        <w:r>
          <w:rPr>
            <w:rStyle w:val="Hyperlink"/>
          </w:rPr>
          <w:t xml:space="preserve">data protection advisory</w:t>
        </w:r>
      </w:hyperlink>
      <w:r>
        <w:t xml:space="preserve"> team sets each environment up in line with PDPL, DIFC and ADGM requirements. Outside the US and EU data boundaries, Power BI's AI assistant stays off unless an admin allows cross-region processing; we make that call with you.</w:t>
      </w:r>
      <w:r>
        <w:rPr>
          <w:vertAlign w:val="superscript"/>
        </w:rPr>
        <w:t xml:space="preserve">9</w:t>
      </w:r>
    </w:p>
    <w:p>
      <w:pPr>
        <w:pStyle w:val="Heading3"/>
        <w:keepNext/>
      </w:pPr>
      <w:r>
        <w:t xml:space="preserve">Do we need a data platform beyond Power BI, and when?</w:t>
      </w:r>
    </w:p>
    <w:p>
      <w:r>
        <w:t xml:space="preserve">Not always. Power BI handles most departmental reporting on its own. Microsoft's wider data platform, which adds data engineering, warehousing and real-time analytics on a common pool of capacity, becomes worth planning for once you feed reports from large or fast-changing sources, once engineering and analyst teams want to work off a shared copy of the data, or once per-user licence spend outgrows capacity pricing. Our readiness assessment tells you where you stand, and if the move makes sense, we plan it in stages.</w:t>
      </w:r>
    </w:p>
    <w:p>
      <w:pPr>
        <w:pStyle w:val="Heading3"/>
        <w:keepNext/>
      </w:pPr>
      <w:r>
        <w:t xml:space="preserve">Does Power BI include AI features, and what do we need to use them?</w:t>
      </w:r>
    </w:p>
    <w:p>
      <w:r>
        <w:t xml:space="preserve">Yes. Power BI includes a generative AI assistant that answers plain-language questions and drafts written summaries of report pages. It runs only on paid capacity, a higher-tier licence bought for the whole organisation; Pro and Premium Per User on their own are not enough. A tenant administrator must also switch it on, and the semantic model needs clear table names, descriptions and tested measures, which we prepare. Prompts are officially supported in English only for now, so we put Arabic into report design instead.</w:t>
      </w:r>
      <w:r>
        <w:rPr>
          <w:vertAlign w:val="superscript"/>
        </w:rPr>
        <w:t xml:space="preserve">9</w:t>
      </w:r>
    </w:p>
    <w:p>
      <w:pPr>
        <w:pStyle w:val="Heading3"/>
        <w:keepNext/>
      </w:pPr>
      <w:r>
        <w:t xml:space="preserve">Why are some Power BI dashboards slow, and can you fix ours?</w:t>
      </w:r>
    </w:p>
    <w:p>
      <w:r>
        <w:t xml:space="preserve">Usually, yes. The tool is rarely the problem; how the report was built almost always is. Typical causes are a weak data model, inefficient DAX or queries, large datasets nobody has optimised, and missing aggregations or indexing. We work through the pipeline, the model and the semantic layer: trimming what each visual asks for, adding aggregation tables and rewriting heavy measures. Every fix is retested at realistic data volumes before the report goes back to your users.</w:t>
      </w:r>
    </w:p>
    <w:p>
      <w:pPr>
        <w:pStyle w:val="Heading3"/>
        <w:keepNext/>
      </w:pPr>
      <w:r>
        <w:t xml:space="preserve">How long does a Power BI implementation take?</w:t>
      </w:r>
    </w:p>
    <w:p>
      <w:r>
        <w:t xml:space="preserve">Scope drives the timeline. Expect two to four weeks for a single department, six to ten weeks for a multi-department programme, and three to six months for an enterprise build on a data lakehouse. In every case you get a working prototype inside the first two weeks, so your feedback steers the rest of the build. HLB HAMT confirms the timeline after discovery, once we know the condition of your data and how many sources are involved.</w:t>
      </w:r>
    </w:p>
    <w:p>
      <w:pPr>
        <w:pStyle w:val="SubBlock"/>
        <w:keepNext/>
      </w:pPr>
      <w:r>
        <w:t xml:space="preserve">Sources</w:t>
      </w:r>
    </w:p>
    <w:p>
      <w:pPr>
        <w:pStyle w:val="ListParagraph"/>
        <w:keepNext/>
        <w:keepLines/>
        <w:numPr>
          <w:ilvl w:val="0"/>
          <w:numId w:val="3"/>
        </w:numPr>
        <w:spacing w:after="40"/>
      </w:pPr>
      <w:hyperlink w:history="1" r:id="rId2w4n4mns4xshnvsznnuhn">
        <w:r>
          <w:rPr>
            <w:rStyle w:val="Hyperlink"/>
            <w:sz w:val="17"/>
            <w:szCs w:val="17"/>
          </w:rPr>
          <w:t xml:space="preserve">Microsoft Learn, cloud region availability for Power BI and Microsoft's data platform</w:t>
        </w:r>
      </w:hyperlink>
      <w:r>
        <w:rPr>
          <w:sz w:val="17"/>
          <w:szCs w:val="17"/>
        </w:rPr>
        <w:t xml:space="preserve">.</w:t>
      </w:r>
    </w:p>
    <w:p>
      <w:pPr>
        <w:pStyle w:val="ListParagraph"/>
        <w:keepNext/>
        <w:keepLines/>
        <w:numPr>
          <w:ilvl w:val="0"/>
          <w:numId w:val="3"/>
        </w:numPr>
        <w:spacing w:after="40"/>
      </w:pPr>
      <w:hyperlink w:history="1" r:id="rIdljadgckyvlhri_mi0bna6">
        <w:r>
          <w:rPr>
            <w:rStyle w:val="Hyperlink"/>
            <w:sz w:val="17"/>
            <w:szCs w:val="17"/>
          </w:rPr>
          <w:t xml:space="preserve">Microsoft Learn, "Data sources in Power BI Desktop"</w:t>
        </w:r>
      </w:hyperlink>
      <w:r>
        <w:rPr>
          <w:sz w:val="17"/>
          <w:szCs w:val="17"/>
        </w:rPr>
        <w:t xml:space="preserve">.</w:t>
      </w:r>
    </w:p>
    <w:p>
      <w:pPr>
        <w:pStyle w:val="ListParagraph"/>
        <w:keepNext/>
        <w:keepLines/>
        <w:numPr>
          <w:ilvl w:val="0"/>
          <w:numId w:val="3"/>
        </w:numPr>
        <w:spacing w:after="40"/>
      </w:pPr>
      <w:hyperlink w:history="1" r:id="rIdvu0pfwg0zfzefrtxijksm">
        <w:r>
          <w:rPr>
            <w:rStyle w:val="Hyperlink"/>
            <w:sz w:val="17"/>
            <w:szCs w:val="17"/>
          </w:rPr>
          <w:t xml:space="preserve">HLB HAMT press release, "HLB HAMT Celebrates 25 Years of Unwavering Excellence"</w:t>
        </w:r>
      </w:hyperlink>
      <w:r>
        <w:rPr>
          <w:sz w:val="17"/>
          <w:szCs w:val="17"/>
        </w:rPr>
        <w:t xml:space="preserve">; also </w:t>
      </w:r>
      <w:hyperlink w:history="1" r:id="rId6m4ocnak4e9acqtuawcoi">
        <w:r>
          <w:rPr>
            <w:rStyle w:val="Hyperlink"/>
            <w:sz w:val="17"/>
            <w:szCs w:val="17"/>
          </w:rPr>
          <w:t xml:space="preserve">HLB HAMT About Us anniversary page</w:t>
        </w:r>
      </w:hyperlink>
      <w:r>
        <w:rPr>
          <w:sz w:val="17"/>
          <w:szCs w:val="17"/>
        </w:rPr>
        <w:t xml:space="preserve"> (founded as HAMT &amp; Associates in 1999; joined HLB International in 2007).</w:t>
      </w:r>
    </w:p>
    <w:p>
      <w:pPr>
        <w:pStyle w:val="ListParagraph"/>
        <w:keepNext/>
        <w:keepLines/>
        <w:numPr>
          <w:ilvl w:val="0"/>
          <w:numId w:val="3"/>
        </w:numPr>
        <w:spacing w:after="40"/>
      </w:pPr>
      <w:hyperlink w:history="1" r:id="rIdr44sa3eoq6z7jt2t_q2gx">
        <w:r>
          <w:rPr>
            <w:rStyle w:val="Hyperlink"/>
            <w:sz w:val="17"/>
            <w:szCs w:val="17"/>
          </w:rPr>
          <w:t xml:space="preserve">Microsoft, "Microsoft named a Leader in the 2026 Gartner Magic Quadrant for Analytics and BI Platforms" (Power BI Updates Blog)</w:t>
        </w:r>
      </w:hyperlink>
      <w:r>
        <w:rPr>
          <w:sz w:val="17"/>
          <w:szCs w:val="17"/>
        </w:rPr>
        <w:t xml:space="preserve">; </w:t>
      </w:r>
      <w:hyperlink w:history="1" r:id="rIdyq24rqxbf12ymv32ikkli">
        <w:r>
          <w:rPr>
            <w:rStyle w:val="Hyperlink"/>
            <w:sz w:val="17"/>
            <w:szCs w:val="17"/>
          </w:rPr>
          <w:t xml:space="preserve">verbatim repost</w:t>
        </w:r>
      </w:hyperlink>
      <w:r>
        <w:rPr>
          <w:sz w:val="17"/>
          <w:szCs w:val="17"/>
        </w:rPr>
        <w:t xml:space="preserve">.</w:t>
      </w:r>
    </w:p>
    <w:p>
      <w:pPr>
        <w:keepNext/>
        <w:keepLines/>
        <w:spacing w:after="60"/>
        <w:ind w:left="540"/>
      </w:pPr>
      <w:r>
        <w:rPr>
          <w:i/>
          <w:iCs/>
          <w:color w:val="4B5563"/>
          <w:sz w:val="16"/>
          <w:szCs w:val="16"/>
        </w:rPr>
        <w:t xml:space="preserve">Gartner does not endorse any vendor, product or service depicted in its research publications. GARTNER and MAGIC QUADRANT are registered trademarks of Gartner, Inc. and/or its affiliates.</w:t>
      </w:r>
    </w:p>
    <w:p>
      <w:pPr>
        <w:pStyle w:val="ListParagraph"/>
        <w:keepNext/>
        <w:keepLines/>
        <w:numPr>
          <w:ilvl w:val="0"/>
          <w:numId w:val="3"/>
        </w:numPr>
        <w:spacing w:after="40"/>
      </w:pPr>
      <w:hyperlink w:history="1" r:id="rIdrhydknb0nbmkytfspcl5e">
        <w:r>
          <w:rPr>
            <w:rStyle w:val="Hyperlink"/>
            <w:sz w:val="17"/>
            <w:szCs w:val="17"/>
          </w:rPr>
          <w:t xml:space="preserve">Microsoft Learn, Power BI service vs Power BI Desktop</w:t>
        </w:r>
      </w:hyperlink>
      <w:r>
        <w:rPr>
          <w:sz w:val="17"/>
          <w:szCs w:val="17"/>
        </w:rPr>
        <w:t xml:space="preserve">.</w:t>
      </w:r>
    </w:p>
    <w:p>
      <w:pPr>
        <w:pStyle w:val="ListParagraph"/>
        <w:keepNext/>
        <w:keepLines/>
        <w:numPr>
          <w:ilvl w:val="0"/>
          <w:numId w:val="3"/>
        </w:numPr>
        <w:spacing w:after="40"/>
      </w:pPr>
      <w:hyperlink w:history="1" r:id="rIdmnrctkxqugs46rblqmo-g">
        <w:r>
          <w:rPr>
            <w:rStyle w:val="Hyperlink"/>
            <w:sz w:val="17"/>
            <w:szCs w:val="17"/>
          </w:rPr>
          <w:t xml:space="preserve">HLB HAMT service commitment</w:t>
        </w:r>
      </w:hyperlink>
      <w:r>
        <w:rPr>
          <w:sz w:val="17"/>
          <w:szCs w:val="17"/>
        </w:rPr>
        <w:t xml:space="preserve"> ("a Power BI proof of concept can be delivered in as little as 7 days for defined use cases").</w:t>
      </w:r>
    </w:p>
    <w:p>
      <w:pPr>
        <w:pStyle w:val="ListParagraph"/>
        <w:keepNext/>
        <w:keepLines/>
        <w:numPr>
          <w:ilvl w:val="0"/>
          <w:numId w:val="3"/>
        </w:numPr>
        <w:spacing w:after="40"/>
      </w:pPr>
      <w:r>
        <w:rPr>
          <w:sz w:val="17"/>
          <w:szCs w:val="17"/>
        </w:rPr>
        <w:t xml:space="preserve">Microsoft Power BI </w:t>
      </w:r>
      <w:hyperlink w:history="1" r:id="rIdpow21vbt4jryrzzj66w0g">
        <w:r>
          <w:rPr>
            <w:rStyle w:val="Hyperlink"/>
            <w:sz w:val="17"/>
            <w:szCs w:val="17"/>
          </w:rPr>
          <w:t xml:space="preserve">pricing update</w:t>
        </w:r>
      </w:hyperlink>
      <w:r>
        <w:rPr>
          <w:sz w:val="17"/>
          <w:szCs w:val="17"/>
        </w:rPr>
        <w:t xml:space="preserve"> and </w:t>
      </w:r>
      <w:hyperlink w:history="1" r:id="rIdv6of5ap-gmw3xw1hs5ftb">
        <w:r>
          <w:rPr>
            <w:rStyle w:val="Hyperlink"/>
            <w:sz w:val="17"/>
            <w:szCs w:val="17"/>
          </w:rPr>
          <w:t xml:space="preserve">pricing page</w:t>
        </w:r>
      </w:hyperlink>
      <w:r>
        <w:rPr>
          <w:sz w:val="17"/>
          <w:szCs w:val="17"/>
        </w:rPr>
        <w:t xml:space="preserve">.</w:t>
      </w:r>
    </w:p>
    <w:p>
      <w:pPr>
        <w:pStyle w:val="ListParagraph"/>
        <w:keepNext/>
        <w:keepLines/>
        <w:numPr>
          <w:ilvl w:val="0"/>
          <w:numId w:val="3"/>
        </w:numPr>
        <w:spacing w:after="40"/>
      </w:pPr>
      <w:r>
        <w:rPr>
          <w:sz w:val="17"/>
          <w:szCs w:val="17"/>
        </w:rPr>
        <w:t xml:space="preserve">Microsoft Learn, </w:t>
      </w:r>
      <w:hyperlink w:history="1" r:id="rIdzpqudn4tcviitp4ex6n4i">
        <w:r>
          <w:rPr>
            <w:rStyle w:val="Hyperlink"/>
            <w:sz w:val="17"/>
            <w:szCs w:val="17"/>
          </w:rPr>
          <w:t xml:space="preserve">ISO/IEC 27001</w:t>
        </w:r>
      </w:hyperlink>
      <w:r>
        <w:rPr>
          <w:sz w:val="17"/>
          <w:szCs w:val="17"/>
        </w:rPr>
        <w:t xml:space="preserve"> and </w:t>
      </w:r>
      <w:hyperlink w:history="1" r:id="rId1jcepubluo_7i_shktgjd">
        <w:r>
          <w:rPr>
            <w:rStyle w:val="Hyperlink"/>
            <w:sz w:val="17"/>
            <w:szCs w:val="17"/>
          </w:rPr>
          <w:t xml:space="preserve">SOC 2</w:t>
        </w:r>
      </w:hyperlink>
      <w:r>
        <w:rPr>
          <w:sz w:val="17"/>
          <w:szCs w:val="17"/>
        </w:rPr>
        <w:t xml:space="preserve"> offerings.</w:t>
      </w:r>
    </w:p>
    <w:p>
      <w:pPr>
        <w:pStyle w:val="ListParagraph"/>
        <w:keepNext w:val="false"/>
        <w:keepLines/>
        <w:numPr>
          <w:ilvl w:val="0"/>
          <w:numId w:val="3"/>
        </w:numPr>
        <w:spacing w:after="40"/>
      </w:pPr>
      <w:hyperlink w:history="1" r:id="rIdzkurzl9mqadqh-ghdc2vg">
        <w:r>
          <w:rPr>
            <w:rStyle w:val="Hyperlink"/>
            <w:sz w:val="17"/>
            <w:szCs w:val="17"/>
          </w:rPr>
          <w:t xml:space="preserve">Microsoft Learn, overview of the generative AI assistant in Power BI</w:t>
        </w:r>
      </w:hyperlink>
      <w:r>
        <w:rPr>
          <w:sz w:val="17"/>
          <w:szCs w:val="17"/>
        </w:rPr>
        <w:t xml:space="preserve">.</w:t>
      </w:r>
    </w:p>
    <w:p>
      <w:pPr>
        <w:pStyle w:val="Marker"/>
        <w:keepNext/>
      </w:pPr>
      <w:r>
        <w:t xml:space="preserve">S15 · Final contact CTA and form · #contact</w:t>
      </w:r>
    </w:p>
    <w:p>
      <w:pPr>
        <w:pStyle w:val="Heading2"/>
        <w:keepNext/>
      </w:pPr>
      <w:r>
        <w:t xml:space="preserve">Book Your Free Consultation</w:t>
      </w:r>
    </w:p>
    <w:p>
      <w:r>
        <w:t xml:space="preserve">Describe the reports you run today and the ones you wish you had. Our Power BI Services team replies within one business day.</w:t>
      </w:r>
    </w:p>
    <w:p>
      <w:pPr>
        <w:pStyle w:val="Note"/>
      </w:pPr>
      <w:r>
        <w:t xml:space="preserve">Form: site-standard "Let's Connect" component (field labels not counted)</w:t>
      </w:r>
    </w:p>
    <w:p>
      <w:pPr>
        <w:pStyle w:val="Note"/>
      </w:pPr>
      <w:r>
        <w:t xml:space="preserve">Fields: Your name · Email address · Phone number · Location · Select your Services · Your message</w:t>
      </w:r>
    </w:p>
    <w:p>
      <w:pPr>
        <w:pStyle w:val="Note"/>
      </w:pPr>
      <w:r>
        <w:t xml:space="preserve">"Select your Services" default: Technology Consulting</w:t>
      </w:r>
    </w:p>
    <w:p>
      <w:pPr>
        <w:pStyle w:val="Button"/>
      </w:pPr>
      <w:r>
        <w:rPr>
          <w:b/>
          <w:bCs/>
        </w:rPr>
        <w:t xml:space="preserve">Button: </w:t>
      </w:r>
      <w:r>
        <w:t xml:space="preserve">Schedule a Consultation</w:t>
      </w:r>
      <w:r>
        <w:rPr>
          <w:color w:val="4B5563"/>
        </w:rPr>
        <w:t xml:space="preserve">  →  form submit</w:t>
      </w:r>
    </w:p>
    <w:p>
      <w:pPr>
        <w:pStyle w:val="Marker"/>
        <w:keepNext/>
      </w:pPr>
      <w:r>
        <w:t xml:space="preserve">S16 · Footer</w:t>
      </w:r>
    </w:p>
    <w:p>
      <w:pPr>
        <w:pStyle w:val="Note"/>
      </w:pPr>
      <w:r>
        <w:t xml:space="preserve">Global site footer. No new copy.</w:t>
      </w:r>
    </w:p>
    <w:sectPr>
      <w:headerReference w:type="default" r:id="rId6"/>
      <w:footerReference w:type="default" r:id="rId7"/>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sz w:val="18"/>
        <w:szCs w:val="18"/>
      </w:rPr>
      <w:fldChar w:fldCharType="begin"/>
      <w:instrText xml:space="preserve">PAGE</w:instrText>
      <w:fldChar w:fldCharType="separate"/>
      <w:fldChar w:fldCharType="end"/>
    </w:r>
    <w:r>
      <w:rPr>
        <w:color w:val="4B5563"/>
        <w:sz w:val="16"/>
        <w:szCs w:val="16"/>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HLB HAMT  |  Power BI Services homepage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pPr>
        <w:spacing w:after="120" w:line="276" w:lineRule="auto"/>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005A77"/>
      <w:sz w:val="40"/>
      <w:szCs w:val="40"/>
    </w:rPr>
  </w:style>
  <w:style w:type="paragraph" w:styleId="Subtitle">
    <w:name w:val="Subtitle"/>
    <w:basedOn w:val="Normal"/>
    <w:next w:val="Normal"/>
    <w:pPr>
      <w:spacing w:after="200"/>
    </w:pPr>
    <w:rPr>
      <w:rFonts w:ascii="Arial" w:cs="Arial" w:eastAsia="Arial" w:hAnsi="Arial"/>
      <w:color w:val="4B5563"/>
      <w:sz w:val="22"/>
      <w:szCs w:val="22"/>
    </w:rPr>
  </w:style>
  <w:style w:type="paragraph" w:styleId="Heading1">
    <w:name w:val="Heading 1"/>
    <w:basedOn w:val="Normal"/>
    <w:next w:val="Normal"/>
    <w:qFormat/>
    <w:pPr>
      <w:spacing w:after="160" w:before="120"/>
      <w:outlineLvl w:val="0"/>
    </w:pPr>
    <w:rPr>
      <w:rFonts w:ascii="Arial" w:cs="Arial" w:eastAsia="Arial" w:hAnsi="Arial"/>
      <w:b/>
      <w:bCs/>
      <w:color w:val="005A77"/>
      <w:sz w:val="40"/>
      <w:szCs w:val="40"/>
    </w:rPr>
  </w:style>
  <w:style w:type="paragraph" w:styleId="Heading2">
    <w:name w:val="Heading 2"/>
    <w:basedOn w:val="Normal"/>
    <w:next w:val="Normal"/>
    <w:qFormat/>
    <w:pPr>
      <w:spacing w:after="120" w:before="120"/>
      <w:outlineLvl w:val="1"/>
    </w:pPr>
    <w:rPr>
      <w:rFonts w:ascii="Arial" w:cs="Arial" w:eastAsia="Arial" w:hAnsi="Arial"/>
      <w:b/>
      <w:bCs/>
      <w:color w:val="005A77"/>
      <w:sz w:val="30"/>
      <w:szCs w:val="30"/>
    </w:rPr>
  </w:style>
  <w:style w:type="paragraph" w:styleId="Heading3">
    <w:name w:val="Heading 3"/>
    <w:basedOn w:val="Normal"/>
    <w:next w:val="Normal"/>
    <w:qFormat/>
    <w:pPr>
      <w:spacing w:after="60" w:before="160"/>
      <w:outlineLvl w:val="2"/>
    </w:pPr>
    <w:rPr>
      <w:rFonts w:ascii="Arial" w:cs="Arial" w:eastAsia="Arial" w:hAnsi="Arial"/>
      <w:b/>
      <w:bCs/>
      <w:color w:val="111827"/>
      <w:sz w:val="23"/>
      <w:szCs w:val="23"/>
    </w:rPr>
  </w:style>
  <w:style w:type="paragraph" w:styleId="Eyebrow">
    <w:name w:val="Eyebrow"/>
    <w:basedOn w:val="Normal"/>
    <w:next w:val="Normal"/>
    <w:pPr>
      <w:spacing w:after="40" w:before="80"/>
    </w:pPr>
    <w:rPr>
      <w:b/>
      <w:bCs/>
      <w:caps/>
      <w:color w:val="9A7200"/>
      <w:spacing w:val="20"/>
      <w:sz w:val="16"/>
      <w:szCs w:val="16"/>
    </w:rPr>
  </w:style>
  <w:style w:type="paragraph" w:styleId="Lede">
    <w:name w:val="Lede"/>
    <w:basedOn w:val="Normal"/>
    <w:next w:val="Normal"/>
    <w:pPr>
      <w:spacing w:after="160"/>
    </w:pPr>
    <w:rPr>
      <w:color w:val="1F2937"/>
      <w:sz w:val="22"/>
      <w:szCs w:val="22"/>
    </w:rPr>
  </w:style>
  <w:style w:type="paragraph" w:styleId="Label">
    <w:name w:val="Label"/>
    <w:basedOn w:val="Normal"/>
    <w:next w:val="Normal"/>
    <w:pPr>
      <w:spacing w:after="40" w:before="160"/>
    </w:pPr>
    <w:rPr>
      <w:b/>
      <w:bCs/>
      <w:caps/>
      <w:color w:val="4B5563"/>
      <w:spacing w:val="10"/>
      <w:sz w:val="16"/>
      <w:szCs w:val="16"/>
    </w:rPr>
  </w:style>
  <w:style w:type="paragraph" w:styleId="Number">
    <w:name w:val="Number"/>
    <w:basedOn w:val="Normal"/>
    <w:next w:val="Normal"/>
    <w:pPr>
      <w:spacing w:after="0" w:before="200"/>
    </w:pPr>
    <w:rPr>
      <w:b/>
      <w:bCs/>
      <w:color w:val="9A7200"/>
      <w:sz w:val="18"/>
      <w:szCs w:val="18"/>
    </w:rPr>
  </w:style>
  <w:style w:type="paragraph" w:styleId="SubBlock">
    <w:name w:val="Sub Block"/>
    <w:basedOn w:val="Normal"/>
    <w:next w:val="Normal"/>
    <w:pPr>
      <w:spacing w:after="60" w:before="240"/>
    </w:pPr>
    <w:rPr>
      <w:b/>
      <w:bCs/>
      <w:color w:val="005A77"/>
      <w:sz w:val="26"/>
      <w:szCs w:val="26"/>
    </w:rPr>
  </w:style>
  <w:style w:type="paragraph" w:styleId="Button">
    <w:name w:val="Button"/>
    <w:basedOn w:val="Normal"/>
    <w:next w:val="Normal"/>
    <w:pPr>
      <w:spacing w:after="140" w:before="40"/>
    </w:pPr>
    <w:rPr>
      <w:color w:val="005A77"/>
      <w:sz w:val="17"/>
      <w:szCs w:val="17"/>
    </w:rPr>
  </w:style>
  <w:style w:type="paragraph" w:styleId="Note">
    <w:name w:val="Note"/>
    <w:basedOn w:val="Normal"/>
    <w:next w:val="Normal"/>
    <w:rPr>
      <w:color w:val="4B5563"/>
      <w:sz w:val="18"/>
      <w:szCs w:val="18"/>
    </w:rPr>
  </w:style>
  <w:style w:type="paragraph" w:styleId="Small">
    <w:name w:val="Small"/>
    <w:basedOn w:val="Normal"/>
    <w:next w:val="Normal"/>
    <w:pPr>
      <w:spacing w:before="160"/>
    </w:pPr>
    <w:rPr>
      <w:color w:val="4B5563"/>
      <w:sz w:val="18"/>
      <w:szCs w:val="18"/>
    </w:rPr>
  </w:style>
  <w:style w:type="paragraph" w:styleId="Marker">
    <w:name w:val="Section Marker"/>
    <w:basedOn w:val="Normal"/>
    <w:next w:val="Normal"/>
    <w:pPr>
      <w:pBdr>
        <w:left w:val="single" w:color="005A77" w:sz="18" w:space="4"/>
      </w:pBdr>
      <w:shd w:fill="F3F4F6" w:color="auto" w:val="clear"/>
      <w:spacing w:after="120" w:before="360"/>
    </w:pPr>
    <w:rPr>
      <w:b/>
      <w:bCs/>
      <w:caps/>
      <w:color w:val="4B5563"/>
      <w:spacing w:val="10"/>
      <w:sz w:val="15"/>
      <w:szCs w:val="15"/>
    </w:rPr>
  </w:style>
  <w:style w:type="paragraph" w:styleId="Placeholder">
    <w:name w:val="Placeholder"/>
    <w:basedOn w:val="Normal"/>
    <w:next w:val="Normal"/>
    <w:pPr>
      <w:pBdr>
        <w:top w:val="dashed" w:color="C89400" w:sz="6" w:space="6"/>
        <w:left w:val="dashed" w:color="C89400" w:sz="6" w:space="6"/>
        <w:bottom w:val="dashed" w:color="C89400" w:sz="6" w:space="6"/>
        <w:right w:val="dashed" w:color="C89400" w:sz="6" w:space="6"/>
      </w:pBdr>
      <w:shd w:fill="FFF7D6" w:color="auto" w:val="clear"/>
      <w:spacing w:after="160" w:before="120"/>
      <w:ind w:left="160" w:right="160"/>
    </w:pPr>
    <w:rPr>
      <w:color w:val="7C5E00"/>
      <w:sz w:val="18"/>
      <w:szCs w:val="18"/>
    </w:rPr>
  </w:style>
  <w:style w:type="character" w:styleId="Hyperlink">
    <w:name w:val="Hyperlink"/>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mwuoxuyaqqkpqrqqpbgsa" Type="http://schemas.openxmlformats.org/officeDocument/2006/relationships/hyperlink" Target="https://hlbhamt.com/services/digital-transformation-uae/" TargetMode="External"/><Relationship Id="rIde99xsq9cqsb1rqeyaioau" Type="http://schemas.openxmlformats.org/officeDocument/2006/relationships/hyperlink" Target="https://hlbhamt.com/sugarai-crm-2/" TargetMode="External"/><Relationship Id="rId5q9aayiwafwtjbe1qypag" Type="http://schemas.openxmlformats.org/officeDocument/2006/relationships/hyperlink" Target="https://hlbhamt.com/services/corporate-tax-advisory-services-in-uae/" TargetMode="External"/><Relationship Id="rIdoqoyrvegtdppdtbyvlfro" Type="http://schemas.openxmlformats.org/officeDocument/2006/relationships/hyperlink" Target="https://hlbhamt.com/insights/unlocking-power-bi-automation-with-power-automate/" TargetMode="External"/><Relationship Id="rId6e8ts27aehwgzcxoitevx" Type="http://schemas.openxmlformats.org/officeDocument/2006/relationships/hyperlink" Target="https://hlbhamt.com/services/data-privacy-and-security-uae/" TargetMode="External"/><Relationship Id="rIdlcuuelkatll0etktrxvda" Type="http://schemas.openxmlformats.org/officeDocument/2006/relationships/hyperlink" Target="https://hlbhamt.com/services/power-bi-dashboard-development/" TargetMode="External"/><Relationship Id="rId_n_ipkqvm3zx_fdhmbxbz" Type="http://schemas.openxmlformats.org/officeDocument/2006/relationships/hyperlink" Target="https://hlbhamt.com/services/data-visualization-uae/" TargetMode="External"/><Relationship Id="rIdfwiwxbydiykjfqzq6zoyl" Type="http://schemas.openxmlformats.org/officeDocument/2006/relationships/hyperlink" Target="https://hlbhamt.com/" TargetMode="External"/><Relationship Id="rIdhiv16_gsea9k3ldb6y4s8" Type="http://schemas.openxmlformats.org/officeDocument/2006/relationships/hyperlink" Target="https://hlbhamt.com/services/technology-consulting-services-dubai-uae/" TargetMode="External"/><Relationship Id="rIdtqg8a2tqbf0ojiemjojce" Type="http://schemas.openxmlformats.org/officeDocument/2006/relationships/hyperlink" Target="https://hlbhamt.com/services/digital-transformation-uae/" TargetMode="External"/><Relationship Id="rIdnnw7irmzrw-qkbblrpqzi" Type="http://schemas.openxmlformats.org/officeDocument/2006/relationships/hyperlink" Target="https://community.fabric.microsoft.com/t5/Power-BI-Updates-Blog/Microsoft-named-a-Leader-in-the-2026-Gartner-Magic-Quadrant-for/ba-p/5262403" TargetMode="External"/><Relationship Id="rIdnsqyqs5x0ygeqeq8jpb0n" Type="http://schemas.openxmlformats.org/officeDocument/2006/relationships/hyperlink" Target="https://hlbhamt.com/services/digital-transformation-uae/" TargetMode="External"/><Relationship Id="rIdzchy1dtjut52mnollgreo" Type="http://schemas.openxmlformats.org/officeDocument/2006/relationships/hyperlink" Target="https://hlbhamt.com/services/data-visualization-uae/" TargetMode="External"/><Relationship Id="rIdsczuvrsbgqacf2tdvaeox" Type="http://schemas.openxmlformats.org/officeDocument/2006/relationships/hyperlink" Target="https://hlbhamt.com/services/corporate-tax-advisory-services-in-uae/" TargetMode="External"/><Relationship Id="rIdcbfxbnnffpwpjepid5_qi" Type="http://schemas.openxmlformats.org/officeDocument/2006/relationships/hyperlink" Target="https://hlbhamt.com/services/power-bi-dashboard-development/" TargetMode="External"/><Relationship Id="rIdgbdncoivgn1jknd6kemhp" Type="http://schemas.openxmlformats.org/officeDocument/2006/relationships/hyperlink" Target="https://hlbhamt.com/sugarai-crm-2/" TargetMode="External"/><Relationship Id="rIdai3hkavvjtxofwc2eyu0t" Type="http://schemas.openxmlformats.org/officeDocument/2006/relationships/hyperlink" Target="https://hlbhamt.com/insights/unlocking-power-bi-automation-with-power-automate/" TargetMode="External"/><Relationship Id="rIds0_p6ksmho9mpu30qxakf" Type="http://schemas.openxmlformats.org/officeDocument/2006/relationships/hyperlink" Target="https://hlbhamt.com/services/data-privacy-and-security-uae/" TargetMode="External"/><Relationship Id="rId2w4n4mns4xshnvsznnuhn" Type="http://schemas.openxmlformats.org/officeDocument/2006/relationships/hyperlink" Target="https://learn.microsoft.com/en-us/fabric/admin/region-availability" TargetMode="External"/><Relationship Id="rIdljadgckyvlhri_mi0bna6" Type="http://schemas.openxmlformats.org/officeDocument/2006/relationships/hyperlink" Target="https://learn.microsoft.com/en-us/power-bi/connect-data/desktop-data-sources" TargetMode="External"/><Relationship Id="rIdvu0pfwg0zfzefrtxijksm" Type="http://schemas.openxmlformats.org/officeDocument/2006/relationships/hyperlink" Target="https://hlbhamt.com/press-room/hlb-hamt-celebrates-25-years-of-unwavering-excellence/" TargetMode="External"/><Relationship Id="rId6m4ocnak4e9acqtuawcoi" Type="http://schemas.openxmlformats.org/officeDocument/2006/relationships/hyperlink" Target="https://hlbhamt.com/about-us/25-years-of-excellence/" TargetMode="External"/><Relationship Id="rIdr44sa3eoq6z7jt2t_q2gx" Type="http://schemas.openxmlformats.org/officeDocument/2006/relationships/hyperlink" Target="https://community.fabric.microsoft.com/t5/Power-BI-Updates-Blog/Microsoft-named-a-Leader-in-the-2026-Gartner-Magic-Quadrant-for/ba-p/5262403" TargetMode="External"/><Relationship Id="rIdyq24rqxbf12ymv32ikkli" Type="http://schemas.openxmlformats.org/officeDocument/2006/relationships/hyperlink" Target="https://mwpro.co.uk/blog/2026/07/03/microsoft-named-a-leader-in-the-2026-gartner-magic-quadrant-for-analytics-and-business-intelligence-platforms/" TargetMode="External"/><Relationship Id="rIdrhydknb0nbmkytfspcl5e" Type="http://schemas.openxmlformats.org/officeDocument/2006/relationships/hyperlink" Target="https://learn.microsoft.com/en-us/power-bi/fundamentals/service-service-vs-desktop" TargetMode="External"/><Relationship Id="rIdmnrctkxqugs46rblqmo-g" Type="http://schemas.openxmlformats.org/officeDocument/2006/relationships/hyperlink" Target="https://hlbhamt.com/services/power-bi-dashboard-development/" TargetMode="External"/><Relationship Id="rIdpow21vbt4jryrzzj66w0g" Type="http://schemas.openxmlformats.org/officeDocument/2006/relationships/hyperlink" Target="https://powerbi.microsoft.com/en-us/blog/important-update-to-microsoft-power-bi-pricing/" TargetMode="External"/><Relationship Id="rIdv6of5ap-gmw3xw1hs5ftb" Type="http://schemas.openxmlformats.org/officeDocument/2006/relationships/hyperlink" Target="https://www.microsoft.com/en-us/power-platform/products/power-bi/pricing" TargetMode="External"/><Relationship Id="rIdzpqudn4tcviitp4ex6n4i" Type="http://schemas.openxmlformats.org/officeDocument/2006/relationships/hyperlink" Target="https://learn.microsoft.com/en-us/compliance/regulatory/offering-iso-27001" TargetMode="External"/><Relationship Id="rId1jcepubluo_7i_shktgjd" Type="http://schemas.openxmlformats.org/officeDocument/2006/relationships/hyperlink" Target="https://learn.microsoft.com/en-us/compliance/regulatory/offering-soc-2" TargetMode="External"/><Relationship Id="rIdzkurzl9mqadqh-ghdc2vg" Type="http://schemas.openxmlformats.org/officeDocument/2006/relationships/hyperlink" Target="https://learn.microsoft.com/en-us/power-bi/create-reports/copilot-introduction" TargetMode="External"/><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BI Services Homepage</dc:title>
  <dc:creator>HLB HAMT</dc:creator>
  <dc:description>Final page copy from draft-v8.md</dc:description>
  <cp:lastModifiedBy>Un-named</cp:lastModifiedBy>
  <cp:revision>1</cp:revision>
  <dcterms:created xsi:type="dcterms:W3CDTF">2026-09-29T19:43:34.656Z</dcterms:created>
  <dcterms:modified xsi:type="dcterms:W3CDTF">2026-09-29T19:43:34.657Z</dcterms:modified>
</cp:coreProperties>
</file>

<file path=docProps/custom.xml><?xml version="1.0" encoding="utf-8"?>
<Properties xmlns="http://schemas.openxmlformats.org/officeDocument/2006/custom-properties" xmlns:vt="http://schemas.openxmlformats.org/officeDocument/2006/docPropsVTypes"/>
</file>