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Data Visualisation Services Homepage</w:t>
      </w:r>
    </w:p>
    <w:p>
      <w:pPr>
        <w:pStyle w:val="Subtitle"/>
      </w:pPr>
      <w:r>
        <w:t xml:space="preserve">Final page copy for HLB HAMT | file name: data-visualization-services-homepage</w:t>
      </w:r>
    </w:p>
    <w:p>
      <w:pPr>
        <w:pStyle w:val="Small"/>
      </w:pPr>
      <w:r>
        <w:t xml:space="preserve">Prepared 30 September 2026 from the approved final draft (draft-v2.md, QA PASS in test-report-v2.md, loop 2 of 3). Grey section bars, "Button:" lines and labels are production notes for the web team; everything else is page copy, in page order. Footnote numbers follow order of appearance on the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7338"/>
      </w:tblGrid>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Meta title</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Data Visualization Services in UAE &amp; Dashboards | HLB HAMT</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Meta description</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Data visualization services in UAE from HLB HAMT: KPI design, data preparation, interactive dashboards and enterprise reports your finance team can trust.</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Primary keyword</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data visualisation services in UAE (on-page, British spelling); data visualization services in UAE (meta title and description only)</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Secondary keywords</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data visualisation services; data visualisation consulting services; data visualisation experts in UAE; data visualisation technologies; data analytics and visualisation software</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Canonical / target URL</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https://hlbhamt.com/services/data-visualization-uae/</w:t>
            </w:r>
          </w:p>
          <w:p>
            <w:pPr>
              <w:pStyle w:val="Small"/>
            </w:pPr>
            <w:r>
              <w:t xml:space="preserve">Replace in place: the new page publishes at the existing URL (brief Section 10, point 1). No redirect needed. The canonical tag and schema URLs in the .html use this address.</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Breadcrumb (S0)</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Home › Services › Technology Consulting Services › Digital Transformation &amp; Analytics › Data Visualisation</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Anchor nav (S3)</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Why HLB HAMT (#whyhlbhamt) · What We Build (#capabilities) · Industries (#usecases) · Services (#services) · Our Method (#methodology) · Engagement Models (#packages) · FAQ (#faq)</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In-copy links (anchor text is the live hyperlink)</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rPr>
                <w:b/>
                <w:bCs/>
              </w:rPr>
              <w:t xml:space="preserve">L1 </w:t>
            </w:r>
            <w:hyperlink w:history="1" r:id="rIdtofqxzhdfy5efy3szha9m">
              <w:r>
                <w:rPr>
                  <w:rStyle w:val="Hyperlink"/>
                  <w:color w:val="0563C1"/>
                  <w:u w:val="single"/>
                </w:rPr>
                <w:t xml:space="preserve">digital transformation and analytics services</w:t>
              </w:r>
            </w:hyperlink>
            <w:r>
              <w:t xml:space="preserve">  (S4 lede)</w:t>
            </w:r>
          </w:p>
          <w:p>
            <w:pPr>
              <w:pStyle w:val="Small"/>
            </w:pPr>
            <w:r>
              <w:rPr>
                <w:b/>
                <w:bCs/>
              </w:rPr>
              <w:t xml:space="preserve">L2 </w:t>
            </w:r>
            <w:r>
              <w:t xml:space="preserve">FAQ 3 platform-service anchor → </w:t>
            </w:r>
            <w:hyperlink w:history="1" r:id="rIdt4f0ej8b1pxc-osgt2wie">
              <w:r>
                <w:rPr>
                  <w:rStyle w:val="Hyperlink"/>
                  <w:color w:val="0563C1"/>
                  <w:u w:val="single"/>
                </w:rPr>
                <w:t xml:space="preserve">https://hlbhamt.com/services/power-bi-partner-in-dubai-uae/</w:t>
              </w:r>
            </w:hyperlink>
            <w:r>
              <w:rPr>
                <w:b/>
                <w:bCs/>
              </w:rPr>
              <w:t xml:space="preserve">  GO-LIVE CONDITION: do not publish until this legacy URL is confirmed to 301-redirect to the new sibling platform page. Swap to that page's final URL once decided.</w:t>
            </w:r>
          </w:p>
          <w:p>
            <w:pPr>
              <w:pStyle w:val="Small"/>
            </w:pPr>
            <w:r>
              <w:rPr>
                <w:b/>
                <w:bCs/>
              </w:rPr>
              <w:t xml:space="preserve">L3 </w:t>
            </w:r>
            <w:hyperlink w:history="1" r:id="rIdz4sioopxqxt-culbfyrqv">
              <w:r>
                <w:rPr>
                  <w:rStyle w:val="Hyperlink"/>
                  <w:color w:val="0563C1"/>
                  <w:u w:val="single"/>
                </w:rPr>
                <w:t xml:space="preserve">advanced analytics services</w:t>
              </w:r>
            </w:hyperlink>
            <w:r>
              <w:t xml:space="preserve">  (FAQ 2)</w:t>
            </w:r>
          </w:p>
          <w:p>
            <w:pPr>
              <w:pStyle w:val="Small"/>
            </w:pPr>
            <w:r>
              <w:rPr>
                <w:b/>
                <w:bCs/>
              </w:rPr>
              <w:t xml:space="preserve">L4 </w:t>
            </w:r>
            <w:hyperlink w:history="1" r:id="rIdieh9r9d4c_tauxcyk1zwk">
              <w:r>
                <w:rPr>
                  <w:rStyle w:val="Hyperlink"/>
                  <w:color w:val="0563C1"/>
                  <w:u w:val="single"/>
                </w:rPr>
                <w:t xml:space="preserve">data protection advisory</w:t>
              </w:r>
            </w:hyperlink>
            <w:r>
              <w:t xml:space="preserve">  (FAQ 6)</w:t>
            </w:r>
          </w:p>
          <w:p>
            <w:pPr>
              <w:pStyle w:val="Small"/>
            </w:pPr>
            <w:r>
              <w:rPr>
                <w:b/>
                <w:bCs/>
              </w:rPr>
              <w:t xml:space="preserve">L5 </w:t>
            </w:r>
            <w:r>
              <w:t xml:space="preserve">HLB HAMT's own CRM product anchor → </w:t>
            </w:r>
            <w:hyperlink w:history="1" r:id="rIdqw6gzgn9rptkobecgycn6">
              <w:r>
                <w:rPr>
                  <w:rStyle w:val="Hyperlink"/>
                  <w:color w:val="0563C1"/>
                  <w:u w:val="single"/>
                </w:rPr>
                <w:t xml:space="preserve">https://hlbhamt.com/sugarai-crm-2/</w:t>
              </w:r>
            </w:hyperlink>
            <w:r>
              <w:t xml:space="preserve">  (S6 card 2, back)</w:t>
            </w:r>
          </w:p>
          <w:p>
            <w:pPr>
              <w:pStyle w:val="Small"/>
            </w:pPr>
            <w:r>
              <w:t xml:space="preserve">In-page: "five-stage method" (S4 card 3) and "agree the measures" (FAQ 7) → #methodology</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CTAs (exactly 4)</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1: hero buttons (S1) · 2: "Request a dashboard review" (S8) · 3: "Talk to our visualisation team" (S13) · 4: contact form "Schedule a Consultation" (S15)</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Schema (HTML only)</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Service, FAQPage (9 Q&amp;As, text identical to the on-page v2 answers) and BreadcrumbList JSON-LD, in the .html file.</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Word count</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3,017 (brief Section 1 rule, as counted by Test in test-report-v2)</w:t>
            </w:r>
          </w:p>
        </w:tc>
      </w:tr>
      <w:tr>
        <w:tc>
          <w:tcPr>
            <w:tcW w:type="dxa" w:w="2300"/>
            <w:tcBorders>
              <w:top w:val="single" w:color="D1D5DB" w:sz="4"/>
              <w:left w:val="single" w:color="D1D5DB" w:sz="4"/>
              <w:bottom w:val="single" w:color="D1D5DB" w:sz="4"/>
              <w:right w:val="single" w:color="D1D5DB" w:sz="4"/>
            </w:tcBorders>
            <w:shd w:fill="F4F7F9" w:color="auto" w:val="clear"/>
            <w:tcMar>
              <w:top w:type="dxa" w:w="60"/>
              <w:left w:type="dxa" w:w="100"/>
              <w:bottom w:type="dxa" w:w="60"/>
              <w:right w:type="dxa" w:w="100"/>
            </w:tcMar>
          </w:tcPr>
          <w:p>
            <w:pPr>
              <w:pStyle w:val="Small"/>
            </w:pPr>
            <w:r>
              <w:rPr>
                <w:b/>
                <w:bCs/>
                <w:color w:val="111827"/>
              </w:rPr>
              <w:t xml:space="preserve">Assets needed</w:t>
            </w:r>
          </w:p>
        </w:tc>
        <w:tc>
          <w:tcPr>
            <w:tcW w:type="dxa" w:w="7338"/>
            <w:tcBorders>
              <w:top w:val="single" w:color="D1D5DB" w:sz="4"/>
              <w:left w:val="single" w:color="D1D5DB" w:sz="4"/>
              <w:bottom w:val="single" w:color="D1D5DB" w:sz="4"/>
              <w:right w:val="single" w:color="D1D5DB" w:sz="4"/>
            </w:tcBorders>
            <w:tcMar>
              <w:top w:type="dxa" w:w="60"/>
              <w:left w:type="dxa" w:w="100"/>
              <w:bottom w:type="dxa" w:w="60"/>
              <w:right w:type="dxa" w:w="100"/>
            </w:tcMar>
          </w:tcPr>
          <w:p>
            <w:pPr>
              <w:pStyle w:val="Small"/>
            </w:pPr>
            <w:r>
              <w:t xml:space="preserve">S12: static executive-dashboard screenshot or GIF (brief Section 10, point 8).</w:t>
            </w:r>
          </w:p>
        </w:tc>
      </w:tr>
    </w:tbl>
    <w:p>
      <w:pPr>
        <w:pStyle w:val="Marker"/>
      </w:pPr>
      <w:r>
        <w:t xml:space="preserve">S0 · BREADCRUMB (NOT COUNTED)</w:t>
      </w:r>
    </w:p>
    <w:p>
      <w:pPr>
        <w:pStyle w:val="Small"/>
      </w:pPr>
      <w:hyperlink w:history="1" r:id="rId23isiqpjx8m9uo731kpgo">
        <w:r>
          <w:rPr>
            <w:rStyle w:val="Hyperlink"/>
            <w:color w:val="0563C1"/>
            <w:u w:val="single"/>
          </w:rPr>
          <w:t xml:space="preserve">Home</w:t>
        </w:r>
      </w:hyperlink>
      <w:r>
        <w:t xml:space="preserve">  ›  </w:t>
      </w:r>
      <w:r>
        <w:rPr>
          <w:b w:val="false"/>
          <w:bCs w:val="false"/>
        </w:rPr>
        <w:t xml:space="preserve">Services</w:t>
      </w:r>
      <w:r>
        <w:t xml:space="preserve">  ›  </w:t>
      </w:r>
      <w:hyperlink w:history="1" r:id="rIdvhr_zuo1f1sy3ctfpzlnx">
        <w:r>
          <w:rPr>
            <w:rStyle w:val="Hyperlink"/>
            <w:color w:val="0563C1"/>
            <w:u w:val="single"/>
          </w:rPr>
          <w:t xml:space="preserve">Technology Consulting Services</w:t>
        </w:r>
      </w:hyperlink>
      <w:r>
        <w:t xml:space="preserve">  ›  </w:t>
      </w:r>
      <w:hyperlink w:history="1" r:id="rIdkxjqnejgufiidxqtutegj">
        <w:r>
          <w:rPr>
            <w:rStyle w:val="Hyperlink"/>
            <w:color w:val="0563C1"/>
            <w:u w:val="single"/>
          </w:rPr>
          <w:t xml:space="preserve">Digital Transformation &amp; Analytics</w:t>
        </w:r>
      </w:hyperlink>
      <w:r>
        <w:t xml:space="preserve">  ›  </w:t>
      </w:r>
      <w:r>
        <w:rPr>
          <w:b/>
          <w:bCs/>
        </w:rPr>
        <w:t xml:space="preserve">Data Visualisation</w:t>
      </w:r>
    </w:p>
    <w:p>
      <w:pPr>
        <w:pStyle w:val="Marker"/>
      </w:pPr>
      <w:r>
        <w:t xml:space="preserve">S1 · HERO, OUTCOME SUB-BLOCK AND SCOPE LINE · CTA 1</w:t>
      </w:r>
    </w:p>
    <w:p>
      <w:pPr>
        <w:pStyle w:val="Eyebrow"/>
      </w:pPr>
      <w:r>
        <w:t xml:space="preserve">HLB HAMT DATA VISUALISATION</w:t>
      </w:r>
    </w:p>
    <w:p>
      <w:pPr>
        <w:pStyle w:val="Heading1"/>
      </w:pPr>
      <w:r>
        <w:t xml:space="preserve">HLB HAMT: Data Visualisation Services in UAE for Clearer, Faster Decisions</w:t>
      </w:r>
    </w:p>
    <w:p>
      <w:pPr>
        <w:pStyle w:val="Lede"/>
      </w:pPr>
      <w:r>
        <w:t xml:space="preserve">We deliver data visualisation services in UAE that put the right figures in front of every decision maker, from finance to operations. HLB HAMT designs and builds each dashboard and report on integrated, governed data, as a firm that audits and advises on the numbers as well as engineering them.</w:t>
      </w:r>
    </w:p>
    <w:p>
      <w:pPr>
        <w:pStyle w:val="Button"/>
      </w:pPr>
      <w:r>
        <w:rPr>
          <w:b/>
          <w:bCs/>
        </w:rPr>
        <w:t xml:space="preserve">Button: </w:t>
      </w:r>
      <w:hyperlink w:history="1" w:anchor="contact">
        <w:r>
          <w:rPr>
            <w:rStyle w:val="Hyperlink"/>
            <w:color w:val="0563C1"/>
            <w:u w:val="single"/>
          </w:rPr>
          <w:t xml:space="preserve">Book a free consultation</w:t>
        </w:r>
      </w:hyperlink>
      <w:r>
        <w:t xml:space="preserve">  →  #contact</w:t>
      </w:r>
    </w:p>
    <w:p>
      <w:pPr>
        <w:pStyle w:val="Button"/>
      </w:pPr>
      <w:r>
        <w:rPr>
          <w:b/>
          <w:bCs/>
        </w:rPr>
        <w:t xml:space="preserve">Button: </w:t>
      </w:r>
      <w:hyperlink w:history="1" w:anchor="services">
        <w:r>
          <w:rPr>
            <w:rStyle w:val="Hyperlink"/>
            <w:color w:val="0563C1"/>
            <w:u w:val="single"/>
          </w:rPr>
          <w:t xml:space="preserve">Explore our services</w:t>
        </w:r>
      </w:hyperlink>
      <w:r>
        <w:t xml:space="preserve">  →  #services</w:t>
      </w:r>
    </w:p>
    <w:p>
      <w:pPr>
        <w:pStyle w:val="SubBlock"/>
      </w:pPr>
      <w:r>
        <w:t xml:space="preserve">Four things our dashboards do for your business</w:t>
      </w:r>
    </w:p>
    <w:p>
      <w:pPr>
        <w:pStyle w:val="Normal"/>
      </w:pPr>
      <w:r>
        <w:t xml:space="preserve">Each one rests on figures checked before publication.</w:t>
      </w:r>
    </w:p>
    <w:p>
      <w:pPr>
        <w:pStyle w:val="Heading3"/>
      </w:pPr>
      <w:r>
        <w:t xml:space="preserve">See performance sooner</w:t>
      </w:r>
    </w:p>
    <w:p>
      <w:pPr>
        <w:pStyle w:val="Normal"/>
      </w:pPr>
      <w:r>
        <w:t xml:space="preserve">We condense large, complex datasets into the handful of KPIs that matter, shrinking the gap between a question and its answer.</w:t>
      </w:r>
    </w:p>
    <w:p>
      <w:pPr>
        <w:pStyle w:val="Heading3"/>
      </w:pPr>
      <w:r>
        <w:t xml:space="preserve">Find what drives the numbers</w:t>
      </w:r>
    </w:p>
    <w:p>
      <w:pPr>
        <w:pStyle w:val="Normal"/>
      </w:pPr>
      <w:r>
        <w:t xml:space="preserve">Relationships across sales, cost and operational data show why results moved and which factors will shape the next period.</w:t>
      </w:r>
    </w:p>
    <w:p>
      <w:pPr>
        <w:pStyle w:val="Heading3"/>
      </w:pPr>
      <w:r>
        <w:t xml:space="preserve">Catch shifts early</w:t>
      </w:r>
    </w:p>
    <w:p>
      <w:pPr>
        <w:pStyle w:val="Normal"/>
      </w:pPr>
      <w:r>
        <w:t xml:space="preserve">Trends and exceptions are flagged while there is still time to act on an opportunity or a rising cost.</w:t>
      </w:r>
    </w:p>
    <w:p>
      <w:pPr>
        <w:pStyle w:val="Heading3"/>
      </w:pPr>
      <w:r>
        <w:t xml:space="preserve">Share one version of the truth</w:t>
      </w:r>
    </w:p>
    <w:p>
      <w:pPr>
        <w:pStyle w:val="Normal"/>
      </w:pPr>
      <w:r>
        <w:t xml:space="preserve">Board members, managers and front-line staff read the same governed figures, so meetings open on decisions rather than disputed numbers.</w:t>
      </w:r>
    </w:p>
    <w:p>
      <w:pPr>
        <w:pStyle w:val="Small"/>
      </w:pPr>
      <w:r>
        <w:t xml:space="preserve">We size every build to your data, from one department's dashboard running on the sources you already use to enterprise reporting across every entity.</w:t>
      </w:r>
    </w:p>
    <w:p>
      <w:pPr>
        <w:pStyle w:val="Marker"/>
      </w:pPr>
      <w:r>
        <w:t xml:space="preserve">S2 · DARK STAT STRIP (4 ITEMS, NO HEADING ON PAGE)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09"/>
        <w:gridCol w:w="2409"/>
        <w:gridCol w:w="2409"/>
        <w:gridCol w:w="2411"/>
      </w:tblGrid>
      <w:tr>
        <w:tc>
          <w:tcPr>
            <w:tcW w:type="dxa" w:w="2409"/>
            <w:tcBorders>
              <w:top w:val="single" w:color="6B6B6A" w:sz="6"/>
              <w:left w:val="single" w:color="6B6B6A" w:sz="6"/>
              <w:bottom w:val="single" w:color="6B6B6A" w:sz="6"/>
              <w:right w:val="single" w:color="6B6B6A" w:sz="6"/>
            </w:tcBorders>
            <w:shd w:fill="3C3C3B" w:color="auto" w:val="clear"/>
            <w:tcMar>
              <w:top w:type="dxa" w:w="100"/>
              <w:left w:type="dxa" w:w="120"/>
              <w:bottom w:type="dxa" w:w="100"/>
              <w:right w:type="dxa" w:w="120"/>
            </w:tcMar>
          </w:tcPr>
          <w:p>
            <w:pPr>
              <w:spacing w:after="60"/>
            </w:pPr>
            <w:r>
              <w:rPr>
                <w:rFonts w:ascii="Arial" w:cs="Arial" w:eastAsia="Arial" w:hAnsi="Arial"/>
                <w:b/>
                <w:bCs/>
                <w:color w:val="FFFFFF"/>
                <w:sz w:val="26"/>
                <w:szCs w:val="26"/>
              </w:rPr>
              <w:t xml:space="preserve">9 sectors</w:t>
            </w:r>
          </w:p>
          <w:p>
            <w:pPr>
              <w:spacing w:after="0"/>
            </w:pPr>
            <w:r>
              <w:rPr>
                <w:rFonts w:ascii="Arial" w:cs="Arial" w:eastAsia="Arial" w:hAnsi="Arial"/>
                <w:color w:val="FFFFFF"/>
                <w:sz w:val="18"/>
                <w:szCs w:val="18"/>
              </w:rPr>
              <w:t xml:space="preserve">with dashboard blueprints ready to adapt to your data.</w:t>
            </w:r>
          </w:p>
        </w:tc>
        <w:tc>
          <w:tcPr>
            <w:tcW w:type="dxa" w:w="2409"/>
            <w:tcBorders>
              <w:top w:val="single" w:color="6B6B6A" w:sz="6"/>
              <w:left w:val="single" w:color="6B6B6A" w:sz="6"/>
              <w:bottom w:val="single" w:color="6B6B6A" w:sz="6"/>
              <w:right w:val="single" w:color="6B6B6A" w:sz="6"/>
            </w:tcBorders>
            <w:shd w:fill="3C3C3B" w:color="auto" w:val="clear"/>
            <w:tcMar>
              <w:top w:type="dxa" w:w="100"/>
              <w:left w:type="dxa" w:w="120"/>
              <w:bottom w:type="dxa" w:w="100"/>
              <w:right w:type="dxa" w:w="120"/>
            </w:tcMar>
          </w:tcPr>
          <w:p>
            <w:pPr>
              <w:spacing w:after="60"/>
            </w:pPr>
            <w:r>
              <w:rPr>
                <w:rFonts w:ascii="Arial" w:cs="Arial" w:eastAsia="Arial" w:hAnsi="Arial"/>
                <w:b/>
                <w:bCs/>
                <w:color w:val="FFFFFF"/>
                <w:sz w:val="26"/>
                <w:szCs w:val="26"/>
              </w:rPr>
              <w:t xml:space="preserve">Source to screen</w:t>
            </w:r>
          </w:p>
          <w:p>
            <w:pPr>
              <w:spacing w:after="0"/>
            </w:pPr>
            <w:r>
              <w:rPr>
                <w:rFonts w:ascii="Arial" w:cs="Arial" w:eastAsia="Arial" w:hAnsi="Arial"/>
                <w:color w:val="FFFFFF"/>
                <w:sz w:val="18"/>
                <w:szCs w:val="18"/>
              </w:rPr>
              <w:t xml:space="preserve">Preparation, modelling, design and publishing by one HLB HAMT team.</w:t>
            </w:r>
          </w:p>
        </w:tc>
        <w:tc>
          <w:tcPr>
            <w:tcW w:type="dxa" w:w="2409"/>
            <w:tcBorders>
              <w:top w:val="single" w:color="6B6B6A" w:sz="6"/>
              <w:left w:val="single" w:color="6B6B6A" w:sz="6"/>
              <w:bottom w:val="single" w:color="6B6B6A" w:sz="6"/>
              <w:right w:val="single" w:color="6B6B6A" w:sz="6"/>
            </w:tcBorders>
            <w:shd w:fill="3C3C3B" w:color="auto" w:val="clear"/>
            <w:tcMar>
              <w:top w:type="dxa" w:w="100"/>
              <w:left w:type="dxa" w:w="120"/>
              <w:bottom w:type="dxa" w:w="100"/>
              <w:right w:type="dxa" w:w="120"/>
            </w:tcMar>
          </w:tcPr>
          <w:p>
            <w:pPr>
              <w:spacing w:after="60"/>
            </w:pPr>
            <w:r>
              <w:rPr>
                <w:rFonts w:ascii="Arial" w:cs="Arial" w:eastAsia="Arial" w:hAnsi="Arial"/>
                <w:b/>
                <w:bCs/>
                <w:color w:val="FFFFFF"/>
                <w:sz w:val="26"/>
                <w:szCs w:val="26"/>
              </w:rPr>
              <w:t xml:space="preserve">Ledger-checked</w:t>
            </w:r>
          </w:p>
          <w:p>
            <w:pPr>
              <w:spacing w:after="0"/>
            </w:pPr>
            <w:r>
              <w:rPr>
                <w:rFonts w:ascii="Arial" w:cs="Arial" w:eastAsia="Arial" w:hAnsi="Arial"/>
                <w:color w:val="FFFFFF"/>
                <w:sz w:val="18"/>
                <w:szCs w:val="18"/>
              </w:rPr>
              <w:t xml:space="preserve">Figures reconciled by a licensed audit and advisory firm.</w:t>
            </w:r>
          </w:p>
        </w:tc>
        <w:tc>
          <w:tcPr>
            <w:tcW w:type="dxa" w:w="2411"/>
            <w:tcBorders>
              <w:top w:val="single" w:color="6B6B6A" w:sz="6"/>
              <w:left w:val="single" w:color="6B6B6A" w:sz="6"/>
              <w:bottom w:val="single" w:color="6B6B6A" w:sz="6"/>
              <w:right w:val="single" w:color="6B6B6A" w:sz="6"/>
            </w:tcBorders>
            <w:shd w:fill="3C3C3B" w:color="auto" w:val="clear"/>
            <w:tcMar>
              <w:top w:type="dxa" w:w="100"/>
              <w:left w:type="dxa" w:w="120"/>
              <w:bottom w:type="dxa" w:w="100"/>
              <w:right w:type="dxa" w:w="120"/>
            </w:tcMar>
          </w:tcPr>
          <w:p>
            <w:pPr>
              <w:spacing w:after="60"/>
            </w:pPr>
            <w:r>
              <w:rPr>
                <w:rFonts w:ascii="Arial" w:cs="Arial" w:eastAsia="Arial" w:hAnsi="Arial"/>
                <w:b/>
                <w:bCs/>
                <w:color w:val="FFFFFF"/>
                <w:sz w:val="26"/>
                <w:szCs w:val="26"/>
              </w:rPr>
              <w:t xml:space="preserve">Role-based</w:t>
            </w:r>
          </w:p>
          <w:p>
            <w:pPr>
              <w:spacing w:after="0"/>
            </w:pPr>
            <w:r>
              <w:rPr>
                <w:rFonts w:ascii="Arial" w:cs="Arial" w:eastAsia="Arial" w:hAnsi="Arial"/>
                <w:color w:val="FFFFFF"/>
                <w:sz w:val="18"/>
                <w:szCs w:val="18"/>
              </w:rPr>
              <w:t xml:space="preserve">Each audience sees its own secured view, branch to board.</w:t>
            </w:r>
          </w:p>
        </w:tc>
      </w:tr>
    </w:tbl>
    <w:p>
      <w:pPr>
        <w:pStyle w:val="Marker"/>
      </w:pPr>
      <w:r>
        <w:t xml:space="preserve">S2B · RECOGNITION LINE (RECOGNITION BAR)</w:t>
      </w:r>
    </w:p>
    <w:p>
      <w:r>
        <w:rPr>
          <w:b/>
          <w:bCs/>
          <w:color w:val="111827"/>
        </w:rPr>
        <w:t xml:space="preserve">We build from the UAE, which ranked 9th of 69 economies in IMD's World Digital Competitiveness Ranking 2025 and 1st for talent.</w:t>
      </w:r>
      <w:r>
        <w:rPr>
          <w:b/>
          <w:bCs/>
          <w:color w:val="111827"/>
          <w:vertAlign w:val="superscript"/>
        </w:rPr>
        <w:t xml:space="preserve">1</w:t>
      </w:r>
    </w:p>
    <w:p>
      <w:pPr>
        <w:pStyle w:val="Button"/>
      </w:pPr>
      <w:r>
        <w:rPr>
          <w:b/>
          <w:bCs/>
        </w:rPr>
        <w:t xml:space="preserve">Link-button (recognition bar, not a CTA): </w:t>
      </w:r>
      <w:hyperlink w:history="1" r:id="rIdtg4ouuzvg3cup7vae-fmx">
        <w:r>
          <w:rPr>
            <w:rStyle w:val="Hyperlink"/>
            <w:color w:val="0563C1"/>
            <w:u w:val="single"/>
          </w:rPr>
          <w:t xml:space="preserve">Read the ranking</w:t>
        </w:r>
      </w:hyperlink>
      <w:r>
        <w:t xml:space="preserve">  →  external link, opens in a new tab (same target as Source 1)</w:t>
      </w:r>
    </w:p>
    <w:p>
      <w:pPr>
        <w:pStyle w:val="Marker"/>
      </w:pPr>
      <w:r>
        <w:t xml:space="preserve">S3 · STICKY ANCHOR NAV (NOT COUNTED)</w:t>
      </w:r>
    </w:p>
    <w:p>
      <w:pPr>
        <w:pStyle w:val="Small"/>
      </w:pPr>
      <w:r>
        <w:t xml:space="preserve">Why HLB HAMT · What We Build · Industries · Services · Our Method · Engagement Models · FAQ</w:t>
      </w:r>
    </w:p>
    <w:p>
      <w:pPr>
        <w:pStyle w:val="Marker"/>
      </w:pPr>
      <w:r>
        <w:t xml:space="preserve">S4 · WHY HLB HAMT · #WHYHLBHAMT</w:t>
      </w:r>
    </w:p>
    <w:p>
      <w:pPr>
        <w:pStyle w:val="Eyebrow"/>
      </w:pPr>
      <w:r>
        <w:t xml:space="preserve">WHY HLB HAMT</w:t>
      </w:r>
    </w:p>
    <w:p>
      <w:pPr>
        <w:pStyle w:val="Heading2"/>
      </w:pPr>
      <w:bookmarkStart w:name="whyhlbhamt" w:id="1"/>
      <w:r>
        <w:t xml:space="preserve">An Audit Firm's Rigour Behind Every Chart</w:t>
      </w:r>
      <w:bookmarkEnd w:id="1"/>
    </w:p>
    <w:p>
      <w:pPr>
        <w:pStyle w:val="Lede"/>
      </w:pPr>
      <w:r>
        <w:t xml:space="preserve">HLB HAMT stands behind those four outcomes as a licensed audit, tax and advisory firm, and a member of the HLB International network, that also designs and builds reporting. Our accountants understand how each figure is produced, and our engineers and designers decide how it should appear and who should see it. This practice forms part of our wider </w:t>
      </w:r>
      <w:hyperlink w:history="1" r:id="rIdbxrhlkrhnyaj1ve_pjavm">
        <w:r>
          <w:rPr>
            <w:rStyle w:val="Hyperlink"/>
            <w:color w:val="0563C1"/>
            <w:u w:val="single"/>
          </w:rPr>
          <w:t xml:space="preserve">digital transformation and analytics services</w:t>
        </w:r>
      </w:hyperlink>
      <w:r>
        <w:t xml:space="preserve">.</w:t>
      </w:r>
    </w:p>
    <w:p>
      <w:pPr>
        <w:pStyle w:val="Heading3"/>
      </w:pPr>
      <w:r>
        <w:t xml:space="preserve">What we do</w:t>
      </w:r>
    </w:p>
    <w:p>
      <w:pPr>
        <w:pStyle w:val="Normal"/>
      </w:pPr>
      <w:r>
        <w:t xml:space="preserve">A single HLB HAMT team covers the whole path from source data to published dashboard: KPI definitions, data preparation and modelling, design, build, tuning, rollout and support. Accountability for every figure therefore stays with one firm, not a chain of subcontractors.</w:t>
      </w:r>
    </w:p>
    <w:p>
      <w:pPr>
        <w:pStyle w:val="Heading3"/>
      </w:pPr>
      <w:r>
        <w:t xml:space="preserve">Who we work with</w:t>
      </w:r>
    </w:p>
    <w:p>
      <w:pPr>
        <w:pStyle w:val="Normal"/>
      </w:pPr>
      <w:r>
        <w:t xml:space="preserve">Our clients are the people who answer for the numbers: finance directors, operations and commercial heads, HR leaders and the data teams who support them. Engagements range from one department's monthly pack to groups consolidating many entities across the GCC.</w:t>
      </w:r>
    </w:p>
    <w:p>
      <w:pPr>
        <w:pStyle w:val="Heading3"/>
      </w:pPr>
      <w:r>
        <w:t xml:space="preserve">How we deliver</w:t>
      </w:r>
    </w:p>
    <w:p>
      <w:pPr>
        <w:pStyle w:val="Normal"/>
      </w:pPr>
      <w:r>
        <w:t xml:space="preserve">Structure comes before styling. KPI definitions are agreed and the data is modelled before anyone sketches a chart, so the visuals rest on figures that already reconcile. From there, the work runs through our </w:t>
      </w:r>
      <w:hyperlink w:history="1" w:anchor="methodology">
        <w:r>
          <w:rPr>
            <w:rStyle w:val="Hyperlink"/>
            <w:color w:val="0563C1"/>
            <w:u w:val="single"/>
          </w:rPr>
          <w:t xml:space="preserve">five-stage method</w:t>
        </w:r>
      </w:hyperlink>
      <w:r>
        <w:t xml:space="preserve">, which one core team carries from the opening KPI session to launch and beyond.</w:t>
      </w:r>
    </w:p>
    <w:p>
      <w:pPr>
        <w:pStyle w:val="Heading3"/>
      </w:pPr>
      <w:r>
        <w:t xml:space="preserve">Support after launch</w:t>
      </w:r>
    </w:p>
    <w:p>
      <w:pPr>
        <w:pStyle w:val="Normal"/>
      </w:pPr>
      <w:r>
        <w:t xml:space="preserve">After launch, our team monitors scheduled refreshes, fixes issues, tunes performance as data volumes grow and adds views as priorities change. We also train your people, so the reporting stays in daily use rather than drifting back to spreadsheets.</w:t>
      </w:r>
    </w:p>
    <w:p>
      <w:pPr>
        <w:pStyle w:val="Marker"/>
      </w:pPr>
      <w:r>
        <w:t xml:space="preserve">S5 · WHAT WE BUILD (3 ROWS AND FOUNDATION LAYER) · #CAPABILITIES</w:t>
      </w:r>
    </w:p>
    <w:p>
      <w:pPr>
        <w:pStyle w:val="Eyebrow"/>
      </w:pPr>
      <w:r>
        <w:t xml:space="preserve">WHAT WE BUILD</w:t>
      </w:r>
    </w:p>
    <w:p>
      <w:pPr>
        <w:pStyle w:val="Heading2"/>
      </w:pPr>
      <w:bookmarkStart w:name="capabilities" w:id="2"/>
      <w:r>
        <w:t xml:space="preserve">Reporting Designed for Each Level of Decision</w:t>
      </w:r>
      <w:bookmarkEnd w:id="2"/>
    </w:p>
    <w:p>
      <w:pPr>
        <w:pStyle w:val="Lede"/>
      </w:pPr>
      <w:r>
        <w:t xml:space="preserve">We turn the four outcomes above into three kinds of reporting, each resting on the measures and model agreed at the start. For every audience, we choose and configure the data visualisation technologies that match how it reads, explores and shares figures, on screen or on paper.</w:t>
      </w:r>
    </w:p>
    <w:p>
      <w:pPr>
        <w:pStyle w:val="Label"/>
      </w:pPr>
      <w:r>
        <w:t xml:space="preserve">View</w:t>
      </w:r>
    </w:p>
    <w:p>
      <w:pPr>
        <w:pStyle w:val="Heading3"/>
      </w:pPr>
      <w:r>
        <w:t xml:space="preserve">For the boardroom</w:t>
      </w:r>
    </w:p>
    <w:p>
      <w:pPr>
        <w:pStyle w:val="Normal"/>
      </w:pPr>
      <w:r>
        <w:t xml:space="preserve">We design one-page scorecards that show each KPI against target, with variance and trend beside it, so an executive can read the position of the business in about a minute. Layouts work as well on a phone between meetings as on the boardroom screen.</w:t>
      </w:r>
    </w:p>
    <w:p>
      <w:pPr>
        <w:pStyle w:val="Label"/>
      </w:pPr>
      <w:r>
        <w:t xml:space="preserve">Key features</w:t>
      </w:r>
    </w:p>
    <w:p>
      <w:pPr>
        <w:pStyle w:val="ListParagraph"/>
        <w:numPr>
          <w:ilvl w:val="0"/>
          <w:numId w:val="2"/>
        </w:numPr>
      </w:pPr>
      <w:r>
        <w:t xml:space="preserve">KPI scorecards against target</w:t>
      </w:r>
    </w:p>
    <w:p>
      <w:pPr>
        <w:pStyle w:val="ListParagraph"/>
        <w:numPr>
          <w:ilvl w:val="0"/>
          <w:numId w:val="2"/>
        </w:numPr>
      </w:pPr>
      <w:r>
        <w:t xml:space="preserve">Variance and trend at a glance</w:t>
      </w:r>
    </w:p>
    <w:p>
      <w:pPr>
        <w:pStyle w:val="ListParagraph"/>
        <w:numPr>
          <w:ilvl w:val="0"/>
          <w:numId w:val="2"/>
        </w:numPr>
      </w:pPr>
      <w:r>
        <w:t xml:space="preserve">Threshold alerts for owners</w:t>
      </w:r>
    </w:p>
    <w:p>
      <w:pPr>
        <w:pStyle w:val="ListParagraph"/>
        <w:numPr>
          <w:ilvl w:val="0"/>
          <w:numId w:val="2"/>
        </w:numPr>
      </w:pPr>
      <w:r>
        <w:t xml:space="preserve">Mobile-friendly layouts</w:t>
      </w:r>
    </w:p>
    <w:p>
      <w:pPr>
        <w:pStyle w:val="ListParagraph"/>
        <w:numPr>
          <w:ilvl w:val="0"/>
          <w:numId w:val="2"/>
        </w:numPr>
      </w:pPr>
      <w:r>
        <w:t xml:space="preserve">Commentary beside the numbers</w:t>
      </w:r>
    </w:p>
    <w:p>
      <w:pPr>
        <w:pStyle w:val="Label"/>
      </w:pPr>
      <w:r>
        <w:t xml:space="preserve">View</w:t>
      </w:r>
    </w:p>
    <w:p>
      <w:pPr>
        <w:pStyle w:val="Heading3"/>
      </w:pPr>
      <w:r>
        <w:t xml:space="preserve">For the analyst's desk</w:t>
      </w:r>
    </w:p>
    <w:p>
      <w:pPr>
        <w:pStyle w:val="Normal"/>
      </w:pPr>
      <w:r>
        <w:t xml:space="preserve">We build interactive reports for the analysts and managers asked to explain a number. They can filter by period, region or product, drill from a total into the transactions behind it and compare patterns side by side until the cause of the movement is clear.</w:t>
      </w:r>
    </w:p>
    <w:p>
      <w:pPr>
        <w:pStyle w:val="Label"/>
      </w:pPr>
      <w:r>
        <w:t xml:space="preserve">Key features</w:t>
      </w:r>
    </w:p>
    <w:p>
      <w:pPr>
        <w:pStyle w:val="ListParagraph"/>
        <w:numPr>
          <w:ilvl w:val="0"/>
          <w:numId w:val="2"/>
        </w:numPr>
      </w:pPr>
      <w:r>
        <w:t xml:space="preserve">Drill-down and drill-through</w:t>
      </w:r>
    </w:p>
    <w:p>
      <w:pPr>
        <w:pStyle w:val="ListParagraph"/>
        <w:numPr>
          <w:ilvl w:val="0"/>
          <w:numId w:val="2"/>
        </w:numPr>
      </w:pPr>
      <w:r>
        <w:t xml:space="preserve">Cross-filtering and slicers</w:t>
      </w:r>
    </w:p>
    <w:p>
      <w:pPr>
        <w:pStyle w:val="ListParagraph"/>
        <w:numPr>
          <w:ilvl w:val="0"/>
          <w:numId w:val="2"/>
        </w:numPr>
      </w:pPr>
      <w:r>
        <w:t xml:space="preserve">Trend lines over time</w:t>
      </w:r>
    </w:p>
    <w:p>
      <w:pPr>
        <w:pStyle w:val="ListParagraph"/>
        <w:numPr>
          <w:ilvl w:val="0"/>
          <w:numId w:val="2"/>
        </w:numPr>
      </w:pPr>
      <w:r>
        <w:t xml:space="preserve">Heatmaps, hierarchies and regional maps</w:t>
      </w:r>
    </w:p>
    <w:p>
      <w:pPr>
        <w:pStyle w:val="ListParagraph"/>
        <w:numPr>
          <w:ilvl w:val="0"/>
          <w:numId w:val="2"/>
        </w:numPr>
      </w:pPr>
      <w:r>
        <w:t xml:space="preserve">Saved views for repeat questions</w:t>
      </w:r>
    </w:p>
    <w:p>
      <w:pPr>
        <w:pStyle w:val="Label"/>
      </w:pPr>
      <w:r>
        <w:t xml:space="preserve">View</w:t>
      </w:r>
    </w:p>
    <w:p>
      <w:pPr>
        <w:pStyle w:val="Heading3"/>
      </w:pPr>
      <w:r>
        <w:t xml:space="preserve">For operations and external stakeholders</w:t>
      </w:r>
    </w:p>
    <w:p>
      <w:pPr>
        <w:pStyle w:val="Normal"/>
      </w:pPr>
      <w:r>
        <w:t xml:space="preserve">We produce the scheduled reports that keep daily operations moving, and the formal reporting that leaves the building: management packs, partner updates and submissions to regulators. Each keeps a fixed layout, refreshes on a set timetable and exports cleanly to print or PDF for filing.</w:t>
      </w:r>
    </w:p>
    <w:p>
      <w:pPr>
        <w:pStyle w:val="Label"/>
      </w:pPr>
      <w:r>
        <w:t xml:space="preserve">Key features</w:t>
      </w:r>
    </w:p>
    <w:p>
      <w:pPr>
        <w:pStyle w:val="ListParagraph"/>
        <w:numPr>
          <w:ilvl w:val="0"/>
          <w:numId w:val="2"/>
        </w:numPr>
      </w:pPr>
      <w:r>
        <w:t xml:space="preserve">Scheduled and near-real-time refresh</w:t>
      </w:r>
    </w:p>
    <w:p>
      <w:pPr>
        <w:pStyle w:val="ListParagraph"/>
        <w:numPr>
          <w:ilvl w:val="0"/>
          <w:numId w:val="2"/>
        </w:numPr>
      </w:pPr>
      <w:r>
        <w:t xml:space="preserve">Print-ready paginated reports</w:t>
      </w:r>
    </w:p>
    <w:p>
      <w:pPr>
        <w:pStyle w:val="ListParagraph"/>
        <w:numPr>
          <w:ilvl w:val="0"/>
          <w:numId w:val="2"/>
        </w:numPr>
      </w:pPr>
      <w:r>
        <w:t xml:space="preserve">Regulator and board packs</w:t>
      </w:r>
    </w:p>
    <w:p>
      <w:pPr>
        <w:pStyle w:val="ListParagraph"/>
        <w:numPr>
          <w:ilvl w:val="0"/>
          <w:numId w:val="2"/>
        </w:numPr>
      </w:pPr>
      <w:r>
        <w:t xml:space="preserve">Views embedded in your portals</w:t>
      </w:r>
    </w:p>
    <w:p>
      <w:pPr>
        <w:pStyle w:val="ListParagraph"/>
        <w:numPr>
          <w:ilvl w:val="0"/>
          <w:numId w:val="2"/>
        </w:numPr>
      </w:pPr>
      <w:r>
        <w:t xml:space="preserve">Distribution by subscription</w:t>
      </w:r>
    </w:p>
    <w:p>
      <w:pPr>
        <w:pStyle w:val="Label"/>
      </w:pPr>
      <w:r>
        <w:t xml:space="preserve">Foundation</w:t>
      </w:r>
    </w:p>
    <w:p>
      <w:pPr>
        <w:pStyle w:val="Heading3"/>
      </w:pPr>
      <w:r>
        <w:t xml:space="preserve">The governed data layer underneath</w:t>
      </w:r>
    </w:p>
    <w:p>
      <w:pPr>
        <w:pStyle w:val="Normal"/>
      </w:pPr>
      <w:r>
        <w:t xml:space="preserve">We build this layer first. Data from your ERP, CRM, finance and operational systems is integrated, cleaned and modelled into a semantic layer with one definition per KPI, then validated against source before design begins. Practitioners share that priority: the 1,579 professionals surveyed for BARC's Data, BI and Analytics Trend Monitor 2026 ranked data quality management first, level with data security and privacy.</w:t>
      </w:r>
      <w:r>
        <w:rPr>
          <w:b/>
          <w:bCs/>
          <w:color w:val="005A77"/>
          <w:vertAlign w:val="superscript"/>
        </w:rPr>
        <w:t xml:space="preserve">2</w:t>
      </w:r>
    </w:p>
    <w:p>
      <w:pPr>
        <w:pStyle w:val="Label"/>
      </w:pPr>
      <w:r>
        <w:t xml:space="preserve">Key features</w:t>
      </w:r>
    </w:p>
    <w:p>
      <w:pPr>
        <w:pStyle w:val="ListParagraph"/>
        <w:numPr>
          <w:ilvl w:val="0"/>
          <w:numId w:val="2"/>
        </w:numPr>
      </w:pPr>
      <w:r>
        <w:t xml:space="preserve">Source integration and pipelines</w:t>
      </w:r>
    </w:p>
    <w:p>
      <w:pPr>
        <w:pStyle w:val="ListParagraph"/>
        <w:numPr>
          <w:ilvl w:val="0"/>
          <w:numId w:val="2"/>
        </w:numPr>
      </w:pPr>
      <w:r>
        <w:t xml:space="preserve">Validation and reconciliation checks</w:t>
      </w:r>
    </w:p>
    <w:p>
      <w:pPr>
        <w:pStyle w:val="ListParagraph"/>
        <w:numPr>
          <w:ilvl w:val="0"/>
          <w:numId w:val="2"/>
        </w:numPr>
      </w:pPr>
      <w:r>
        <w:t xml:space="preserve">Semantic model with shared KPI definitions</w:t>
      </w:r>
    </w:p>
    <w:p>
      <w:pPr>
        <w:pStyle w:val="ListParagraph"/>
        <w:numPr>
          <w:ilvl w:val="0"/>
          <w:numId w:val="2"/>
        </w:numPr>
      </w:pPr>
      <w:r>
        <w:t xml:space="preserve">Role-based security</w:t>
      </w:r>
    </w:p>
    <w:p>
      <w:pPr>
        <w:pStyle w:val="Marker"/>
      </w:pPr>
      <w:r>
        <w:t xml:space="preserve">S6 · INDUSTRY USE CASES (9 FLIP CARDS: FRONT = TITLE AND TAGLINE, BACK = DETAIL; NO BUTTONS) · #USECASES</w:t>
      </w:r>
    </w:p>
    <w:p>
      <w:pPr>
        <w:pStyle w:val="Eyebrow"/>
      </w:pPr>
      <w:r>
        <w:t xml:space="preserve">INDUSTRIES</w:t>
      </w:r>
    </w:p>
    <w:p>
      <w:pPr>
        <w:pStyle w:val="Heading2"/>
      </w:pPr>
      <w:bookmarkStart w:name="usecases" w:id="3"/>
      <w:r>
        <w:t xml:space="preserve">Sector Blueprints Built Around the Metrics You Report</w:t>
      </w:r>
      <w:bookmarkEnd w:id="3"/>
    </w:p>
    <w:p>
      <w:pPr>
        <w:pStyle w:val="Lede"/>
      </w:pPr>
      <w:r>
        <w:t xml:space="preserve">We apply those three kinds of reporting to the metrics each sector actually runs on. The blueprints below are starting points that we adapt to your own data and definitions.</w:t>
      </w:r>
    </w:p>
    <w:p>
      <w:pPr>
        <w:pStyle w:val="Heading3"/>
      </w:pPr>
      <w:r>
        <w:t xml:space="preserve">Finance and Financial Reporting</w:t>
      </w:r>
    </w:p>
    <w:p>
      <w:r>
        <w:rPr>
          <w:i/>
          <w:iCs/>
          <w:color w:val="4B5563"/>
        </w:rPr>
        <w:t xml:space="preserve">Revenue, margin and exposure on a single page</w:t>
      </w:r>
    </w:p>
    <w:p>
      <w:pPr>
        <w:pStyle w:val="Normal"/>
      </w:pPr>
      <w:r>
        <w:t xml:space="preserve">Our finance views track revenue streams, cost structure, profitability trend and risk exposure, giving leadership a clear basis for deciding where to invest next. Because our accountants help design them, the figures tie back to your books.</w:t>
      </w:r>
    </w:p>
    <w:p>
      <w:pPr>
        <w:pStyle w:val="Heading3"/>
      </w:pPr>
      <w:r>
        <w:t xml:space="preserve">Customer Relationships</w:t>
      </w:r>
    </w:p>
    <w:p>
      <w:r>
        <w:rPr>
          <w:i/>
          <w:iCs/>
          <w:color w:val="4B5563"/>
        </w:rPr>
        <w:t xml:space="preserve">Who stays, who drifts and what each customer is worth</w:t>
      </w:r>
    </w:p>
    <w:p>
      <w:pPr>
        <w:pStyle w:val="Normal"/>
      </w:pPr>
      <w:r>
        <w:t xml:space="preserve">Behaviour, engagement, satisfaction, retention and lifetime value are set side by side in our customer views, with segments that tell account teams where to focus. Where your records sit in </w:t>
      </w:r>
      <w:hyperlink w:history="1" r:id="rIdaluo3ethnastuko2rrh2g">
        <w:r>
          <w:rPr>
            <w:rStyle w:val="Hyperlink"/>
            <w:color w:val="0563C1"/>
            <w:u w:val="single"/>
          </w:rPr>
          <w:t xml:space="preserve">SugarAI CRM</w:t>
        </w:r>
      </w:hyperlink>
      <w:r>
        <w:t xml:space="preserve">, we connect it directly as a source.</w:t>
      </w:r>
    </w:p>
    <w:p>
      <w:pPr>
        <w:pStyle w:val="Heading3"/>
      </w:pPr>
      <w:r>
        <w:t xml:space="preserve">Supply Chain</w:t>
      </w:r>
    </w:p>
    <w:p>
      <w:r>
        <w:rPr>
          <w:i/>
          <w:iCs/>
          <w:color w:val="4B5563"/>
        </w:rPr>
        <w:t xml:space="preserve">Stock, suppliers and deliveries kept in balance</w:t>
      </w:r>
    </w:p>
    <w:p>
      <w:pPr>
        <w:pStyle w:val="Normal"/>
      </w:pPr>
      <w:r>
        <w:t xml:space="preserve">We map bottlenecks, inventory levels against demand, supplier performance and delivery reliability in one place, giving procurement and operations teams time to act on a late shipment or a stock shortage well before customers notice it.</w:t>
      </w:r>
    </w:p>
    <w:p>
      <w:pPr>
        <w:pStyle w:val="Heading3"/>
      </w:pPr>
      <w:r>
        <w:t xml:space="preserve">Manufacturing</w:t>
      </w:r>
    </w:p>
    <w:p>
      <w:r>
        <w:rPr>
          <w:i/>
          <w:iCs/>
          <w:color w:val="4B5563"/>
        </w:rPr>
        <w:t xml:space="preserve">Efficiency and quality from the plant floor up</w:t>
      </w:r>
    </w:p>
    <w:p>
      <w:pPr>
        <w:pStyle w:val="Normal"/>
      </w:pPr>
      <w:r>
        <w:t xml:space="preserve">Production reporting from our team tracks efficiency, quality, downtime and resource utilisation, broken down by line, shift and product. Plant managers see where output is lost and what causes it, and finance sees the same figures costed.</w:t>
      </w:r>
    </w:p>
    <w:p>
      <w:pPr>
        <w:pStyle w:val="Heading3"/>
      </w:pPr>
      <w:r>
        <w:t xml:space="preserve">HR and Workforce</w:t>
      </w:r>
    </w:p>
    <w:p>
      <w:r>
        <w:rPr>
          <w:i/>
          <w:iCs/>
          <w:color w:val="4B5563"/>
        </w:rPr>
        <w:t xml:space="preserve">People data your leadership can plan around</w:t>
      </w:r>
    </w:p>
    <w:p>
      <w:pPr>
        <w:pStyle w:val="Normal"/>
      </w:pPr>
      <w:r>
        <w:t xml:space="preserve">From HR and payroll records, we produce workforce reporting on performance trends, retention, recruitment effectiveness and productivity. HR leaders can see where attrition is concentrated and which hiring channels deliver, with access restricted by role.</w:t>
      </w:r>
    </w:p>
    <w:p>
      <w:pPr>
        <w:pStyle w:val="Heading3"/>
      </w:pPr>
      <w:r>
        <w:t xml:space="preserve">Hospitality</w:t>
      </w:r>
    </w:p>
    <w:p>
      <w:r>
        <w:rPr>
          <w:i/>
          <w:iCs/>
          <w:color w:val="4B5563"/>
        </w:rPr>
        <w:t xml:space="preserve">Occupancy and room revenue, property by property</w:t>
      </w:r>
    </w:p>
    <w:p>
      <w:pPr>
        <w:pStyle w:val="Normal"/>
      </w:pPr>
      <w:r>
        <w:t xml:space="preserve">For hotels and resorts, we track occupancy, revenue per available room (RevPAR), guest satisfaction and service efficiency. General managers and revenue teams compare properties, room types and booking channels, then base pricing and staffing decisions on current figures.</w:t>
      </w:r>
    </w:p>
    <w:p>
      <w:pPr>
        <w:pStyle w:val="Heading3"/>
      </w:pPr>
      <w:r>
        <w:t xml:space="preserve">Logistics</w:t>
      </w:r>
    </w:p>
    <w:p>
      <w:r>
        <w:rPr>
          <w:i/>
          <w:iCs/>
          <w:color w:val="4B5563"/>
        </w:rPr>
        <w:t xml:space="preserve">Shipments, routes and fleet on one screen</w:t>
      </w:r>
    </w:p>
    <w:p>
      <w:pPr>
        <w:pStyle w:val="Normal"/>
      </w:pPr>
      <w:r>
        <w:t xml:space="preserve">We build logistics reporting on shipment status, route and on-time delivery performance, fleet utilisation and cost per delivery. Operations managers spot the lanes and vehicles that erode margin, and customer service can answer a tracking query without calling the depot.</w:t>
      </w:r>
    </w:p>
    <w:p>
      <w:pPr>
        <w:pStyle w:val="Heading3"/>
      </w:pPr>
      <w:r>
        <w:t xml:space="preserve">Wholesale Distribution</w:t>
      </w:r>
    </w:p>
    <w:p>
      <w:r>
        <w:rPr>
          <w:i/>
          <w:iCs/>
          <w:color w:val="4B5563"/>
        </w:rPr>
        <w:t xml:space="preserve">Orders, warehouses and margin across every channel</w:t>
      </w:r>
    </w:p>
    <w:p>
      <w:pPr>
        <w:pStyle w:val="Normal"/>
      </w:pPr>
      <w:r>
        <w:t xml:space="preserve">Order, stock and sales data feed our reporting on fulfilment, warehouse efficiency, demand by product and channel performance, with margin shown at each level. Commercial and warehouse managers see which lines move, which sit, and where discounting is eating into profit.</w:t>
      </w:r>
    </w:p>
    <w:p>
      <w:pPr>
        <w:pStyle w:val="Heading3"/>
      </w:pPr>
      <w:r>
        <w:t xml:space="preserve">Events and Media</w:t>
      </w:r>
    </w:p>
    <w:p>
      <w:r>
        <w:rPr>
          <w:i/>
          <w:iCs/>
          <w:color w:val="4B5563"/>
        </w:rPr>
        <w:t xml:space="preserve">Audiences, campaigns and reach measured together</w:t>
      </w:r>
    </w:p>
    <w:p>
      <w:pPr>
        <w:pStyle w:val="Normal"/>
      </w:pPr>
      <w:r>
        <w:t xml:space="preserve">We measure attendance, audience behaviour, campaign effectiveness, brand reach and engagement for each event and publication. Marketing and event teams compare channels and campaigns on the same measures, then shift budget towards what their audiences actually respond to.</w:t>
      </w:r>
    </w:p>
    <w:p>
      <w:pPr>
        <w:pStyle w:val="Marker"/>
      </w:pPr>
      <w:r>
        <w:t xml:space="preserve">S7 · HLB HAMT'S DATA VISUALISATION SERVICES (NUMBERED 01 TO 06) · #SERVICES</w:t>
      </w:r>
    </w:p>
    <w:p>
      <w:pPr>
        <w:pStyle w:val="Eyebrow"/>
      </w:pPr>
      <w:r>
        <w:t xml:space="preserve">WHAT WE DO</w:t>
      </w:r>
    </w:p>
    <w:p>
      <w:pPr>
        <w:pStyle w:val="Heading2"/>
      </w:pPr>
      <w:bookmarkStart w:name="services" w:id="4"/>
      <w:r>
        <w:t xml:space="preserve">HLB HAMT's Data Visualisation Services</w:t>
      </w:r>
      <w:bookmarkEnd w:id="4"/>
    </w:p>
    <w:p>
      <w:pPr>
        <w:pStyle w:val="Lede"/>
      </w:pPr>
      <w:r>
        <w:t xml:space="preserve">We answer those sector needs with six offerings: our data visualisation consulting services run from the first KPI workshop to support after launch. Take one, or combine several as your reporting matures.</w:t>
      </w:r>
    </w:p>
    <w:p>
      <w:pPr>
        <w:pStyle w:val="Number"/>
      </w:pPr>
      <w:r>
        <w:t xml:space="preserve">01</w:t>
      </w:r>
    </w:p>
    <w:p>
      <w:pPr>
        <w:pStyle w:val="Heading3"/>
      </w:pPr>
      <w:r>
        <w:t xml:space="preserve">Reporting Strategy and KPI Design</w:t>
      </w:r>
    </w:p>
    <w:p>
      <w:pPr>
        <w:pStyle w:val="Normal"/>
      </w:pPr>
      <w:r>
        <w:t xml:space="preserve">We start by auditing the reports and spreadsheets you rely on today and interviewing the people who use them. From there we agree one definition for each KPI, map which audience needs which view, and set out a phased roadmap with a platform recommendation that fits your analytics plans as well as your reporting.</w:t>
      </w:r>
    </w:p>
    <w:p>
      <w:pPr>
        <w:pStyle w:val="Number"/>
      </w:pPr>
      <w:r>
        <w:t xml:space="preserve">02</w:t>
      </w:r>
    </w:p>
    <w:p>
      <w:pPr>
        <w:pStyle w:val="Heading3"/>
      </w:pPr>
      <w:r>
        <w:t xml:space="preserve">Data Preparation and Integration</w:t>
      </w:r>
    </w:p>
    <w:p>
      <w:pPr>
        <w:pStyle w:val="Normal"/>
      </w:pPr>
      <w:r>
        <w:t xml:space="preserve">Our engineers connect your ERP, CRM, finance, HR and operational sources, whether on-premises or in the cloud, then clean, reconcile and model them into the governed layer described above. Scheduled refresh keeps figures current, and incremental refresh loads only what has changed, which lets large histories update quickly without reprocessing years of records each night.</w:t>
      </w:r>
    </w:p>
    <w:p>
      <w:pPr>
        <w:pStyle w:val="Number"/>
      </w:pPr>
      <w:r>
        <w:t xml:space="preserve">03</w:t>
      </w:r>
    </w:p>
    <w:p>
      <w:pPr>
        <w:pStyle w:val="Heading3"/>
      </w:pPr>
      <w:r>
        <w:t xml:space="preserve">Dashboard and Enterprise Report Development</w:t>
      </w:r>
    </w:p>
    <w:p>
      <w:pPr>
        <w:pStyle w:val="Normal"/>
      </w:pPr>
      <w:r>
        <w:t xml:space="preserve">Building starts once you have approved the wireframes. We then produce interactive dashboards and scorecards, formal paginated reports for boards and regulators, and mobile layouts for people away from their desks. Row-level security is set up as part of the build, so each user opens a report and sees only the records their role allows.</w:t>
      </w:r>
    </w:p>
    <w:p>
      <w:pPr>
        <w:pStyle w:val="Number"/>
      </w:pPr>
      <w:r>
        <w:t xml:space="preserve">04</w:t>
      </w:r>
    </w:p>
    <w:p>
      <w:pPr>
        <w:pStyle w:val="Heading3"/>
      </w:pPr>
      <w:r>
        <w:t xml:space="preserve">Performance Tuning for Existing Dashboards</w:t>
      </w:r>
    </w:p>
    <w:p>
      <w:pPr>
        <w:pStyle w:val="Normal"/>
      </w:pPr>
      <w:r>
        <w:t xml:space="preserve">If reports are slow or ignored, we find out why before changing anything. Our engineers time each page, find whether the delay sits in the data refresh, the model or the calculations, and fix it there: aggregation tables, fewer queries per page, leaner formulas. Where clarity is the problem, we rework layouts so the key figure is seen first.</w:t>
      </w:r>
    </w:p>
    <w:p>
      <w:pPr>
        <w:pStyle w:val="Number"/>
      </w:pPr>
      <w:r>
        <w:t xml:space="preserve">05</w:t>
      </w:r>
    </w:p>
    <w:p>
      <w:pPr>
        <w:pStyle w:val="Heading3"/>
      </w:pPr>
      <w:r>
        <w:t xml:space="preserve">Migration and Reporting Modernisation</w:t>
      </w:r>
    </w:p>
    <w:p>
      <w:pPr>
        <w:pStyle w:val="Normal"/>
      </w:pPr>
      <w:r>
        <w:t xml:space="preserve">When you move from another reporting tool, we preserve the business rules your figures depend on and take the chance to rethink layouts that no longer serve their readers. Where your data platform is being rebuilt at the same time, reporting keeps running throughout: we advise your engineers and prove each step with a working prototype first.</w:t>
      </w:r>
    </w:p>
    <w:p>
      <w:pPr>
        <w:pStyle w:val="Number"/>
      </w:pPr>
      <w:r>
        <w:t xml:space="preserve">06</w:t>
      </w:r>
    </w:p>
    <w:p>
      <w:pPr>
        <w:pStyle w:val="Heading3"/>
      </w:pPr>
      <w:r>
        <w:t xml:space="preserve">Training, Adoption and Support</w:t>
      </w:r>
    </w:p>
    <w:p>
      <w:pPr>
        <w:pStyle w:val="Normal"/>
      </w:pPr>
      <w:r>
        <w:t xml:space="preserve">We match training to the role. Leaders learn what each scorecard is telling them and which questions to ask; business users learn to filter and explore on their own; report builders learn to extend the model without breaking shared definitions. We hand over documentation for each model and report, then keep monitoring, fixing and enhancing your reporting as needs change.</w:t>
      </w:r>
    </w:p>
    <w:p>
      <w:pPr>
        <w:pStyle w:val="Marker"/>
      </w:pPr>
      <w:r>
        <w:t xml:space="preserve">S8 · MID-PAGE CTA A · CTA 2</w:t>
      </w:r>
    </w:p>
    <w:p>
      <w:pPr>
        <w:pStyle w:val="Heading2"/>
      </w:pPr>
      <w:r>
        <w:t xml:space="preserve">Not Sure Where to Start? Begin With a Dashboard Review</w:t>
      </w:r>
    </w:p>
    <w:p>
      <w:pPr>
        <w:pStyle w:val="Normal"/>
      </w:pPr>
      <w:r>
        <w:t xml:space="preserve">Show us your current reports, sources and KPIs, and we will recommend where the first build should focus.</w:t>
      </w:r>
    </w:p>
    <w:p>
      <w:pPr>
        <w:pStyle w:val="Button"/>
      </w:pPr>
      <w:r>
        <w:rPr>
          <w:b/>
          <w:bCs/>
        </w:rPr>
        <w:t xml:space="preserve">Button: </w:t>
      </w:r>
      <w:hyperlink w:history="1" w:anchor="contact">
        <w:r>
          <w:rPr>
            <w:rStyle w:val="Hyperlink"/>
            <w:color w:val="0563C1"/>
            <w:u w:val="single"/>
          </w:rPr>
          <w:t xml:space="preserve">Request a dashboard review</w:t>
        </w:r>
      </w:hyperlink>
      <w:r>
        <w:t xml:space="preserve">  →  #contact</w:t>
      </w:r>
    </w:p>
    <w:p>
      <w:pPr>
        <w:pStyle w:val="Marker"/>
      </w:pPr>
      <w:r>
        <w:t xml:space="preserve">S9 · DELIVERY METHOD (HIGHLIGHTED BAND #005A77; NO DURATIONS, NO BUTTON) · #METHODOLOGY</w:t>
      </w:r>
    </w:p>
    <w:p>
      <w:pPr>
        <w:pStyle w:val="Eyebrow"/>
      </w:pPr>
      <w:r>
        <w:t xml:space="preserve">HOW WE DELIVER</w:t>
      </w:r>
    </w:p>
    <w:p>
      <w:pPr>
        <w:pStyle w:val="Heading2"/>
      </w:pPr>
      <w:bookmarkStart w:name="methodology" w:id="5"/>
      <w:r>
        <w:t xml:space="preserve">Measures First, Visuals Second: Our Delivery Method</w:t>
      </w:r>
      <w:bookmarkEnd w:id="5"/>
    </w:p>
    <w:p>
      <w:pPr>
        <w:pStyle w:val="Lede"/>
      </w:pPr>
      <w:r>
        <w:t xml:space="preserve">Whichever services you choose, we deliver them in five stages, starting with how success will be measured. Only 22% of organisations Gartner surveyed had defined, tracked and communicated business impact metrics for most of their data and analytics use cases.</w:t>
      </w:r>
      <w:r>
        <w:rPr>
          <w:b/>
          <w:bCs/>
          <w:color w:val="005A77"/>
          <w:vertAlign w:val="superscript"/>
        </w:rPr>
        <w:t xml:space="preserve">3</w:t>
      </w:r>
    </w:p>
    <w:p>
      <w:pPr>
        <w:pStyle w:val="Number"/>
      </w:pPr>
      <w:r>
        <w:t xml:space="preserve">1</w:t>
      </w:r>
    </w:p>
    <w:p>
      <w:pPr>
        <w:pStyle w:val="Heading3"/>
      </w:pPr>
      <w:r>
        <w:t xml:space="preserve">Define the measures</w:t>
      </w:r>
    </w:p>
    <w:p>
      <w:pPr>
        <w:pStyle w:val="Normal"/>
      </w:pPr>
      <w:r>
        <w:t xml:space="preserve">Workshops with each audience agree the KPIs, their calculation rules, targets and the criteria that will show success.</w:t>
      </w:r>
    </w:p>
    <w:p>
      <w:pPr>
        <w:pStyle w:val="Number"/>
      </w:pPr>
      <w:r>
        <w:t xml:space="preserve">2</w:t>
      </w:r>
    </w:p>
    <w:p>
      <w:pPr>
        <w:pStyle w:val="Heading3"/>
      </w:pPr>
      <w:r>
        <w:t xml:space="preserve">Prepare and model the data</w:t>
      </w:r>
    </w:p>
    <w:p>
      <w:pPr>
        <w:pStyle w:val="Normal"/>
      </w:pPr>
      <w:r>
        <w:t xml:space="preserve">Sources are connected and reconciled, then shaped into a semantic model with security rules set by role.</w:t>
      </w:r>
    </w:p>
    <w:p>
      <w:pPr>
        <w:pStyle w:val="Number"/>
      </w:pPr>
      <w:r>
        <w:t xml:space="preserve">3</w:t>
      </w:r>
    </w:p>
    <w:p>
      <w:pPr>
        <w:pStyle w:val="Heading3"/>
      </w:pPr>
      <w:r>
        <w:t xml:space="preserve">Design and approve</w:t>
      </w:r>
    </w:p>
    <w:p>
      <w:pPr>
        <w:pStyle w:val="Normal"/>
      </w:pPr>
      <w:r>
        <w:t xml:space="preserve">We sketch each page as a wireframe, refine it into a mock-up with your reviewers, and build only from the approved version.</w:t>
      </w:r>
    </w:p>
    <w:p>
      <w:pPr>
        <w:pStyle w:val="Number"/>
      </w:pPr>
      <w:r>
        <w:t xml:space="preserve">4</w:t>
      </w:r>
    </w:p>
    <w:p>
      <w:pPr>
        <w:pStyle w:val="Heading3"/>
      </w:pPr>
      <w:r>
        <w:t xml:space="preserve">Build, test and tune</w:t>
      </w:r>
    </w:p>
    <w:p>
      <w:pPr>
        <w:pStyle w:val="Normal"/>
      </w:pPr>
      <w:r>
        <w:t xml:space="preserve">We develop each view, check every figure against its source system and tune load times before users see it.</w:t>
      </w:r>
    </w:p>
    <w:p>
      <w:pPr>
        <w:pStyle w:val="Number"/>
      </w:pPr>
      <w:r>
        <w:t xml:space="preserve">5</w:t>
      </w:r>
    </w:p>
    <w:p>
      <w:pPr>
        <w:pStyle w:val="Heading3"/>
      </w:pPr>
      <w:r>
        <w:t xml:space="preserve">Launch, train and support</w:t>
      </w:r>
    </w:p>
    <w:p>
      <w:pPr>
        <w:pStyle w:val="Normal"/>
      </w:pPr>
      <w:r>
        <w:t xml:space="preserve">We publish to each audience, train them, hand over documentation, then keep monitoring and improving what is live.</w:t>
      </w:r>
    </w:p>
    <w:p>
      <w:pPr>
        <w:pStyle w:val="Marker"/>
      </w:pPr>
      <w:r>
        <w:t xml:space="preserve">S10 · ENGAGEMENT MODELS (3 TABS; NO FEATURED CARD, NO BUTTON) · #PACKAGES</w:t>
      </w:r>
    </w:p>
    <w:p>
      <w:pPr>
        <w:pStyle w:val="Eyebrow"/>
      </w:pPr>
      <w:r>
        <w:t xml:space="preserve">ENGAGEMENT MODELS</w:t>
      </w:r>
    </w:p>
    <w:p>
      <w:pPr>
        <w:pStyle w:val="Heading2"/>
      </w:pPr>
      <w:bookmarkStart w:name="packages" w:id="6"/>
      <w:r>
        <w:t xml:space="preserve">Three Ways to Work With Us, Sized to Your Scope</w:t>
      </w:r>
      <w:bookmarkEnd w:id="6"/>
    </w:p>
    <w:p>
      <w:pPr>
        <w:pStyle w:val="Lede"/>
      </w:pPr>
      <w:r>
        <w:t xml:space="preserve">We offer our data visualisation consulting services in three shapes built around the five stages above: start small, run all five for one function or a group, or call on us after launch.</w:t>
      </w:r>
    </w:p>
    <w:p>
      <w:pPr>
        <w:pStyle w:val="Label"/>
      </w:pPr>
      <w:r>
        <w:t xml:space="preserve">Tab: Start</w:t>
      </w:r>
    </w:p>
    <w:p>
      <w:r>
        <w:rPr>
          <w:b/>
          <w:bCs/>
          <w:color w:val="111827"/>
        </w:rPr>
        <w:t xml:space="preserve">Test the approach on your own figures before committing further.</w:t>
      </w:r>
    </w:p>
    <w:p>
      <w:pPr>
        <w:pStyle w:val="Heading3"/>
      </w:pPr>
      <w:r>
        <w:t xml:space="preserve">Dashboard review</w:t>
      </w:r>
    </w:p>
    <w:p>
      <w:pPr>
        <w:pStyle w:val="Normal"/>
      </w:pPr>
      <w:r>
        <w:t xml:space="preserve">We look at the reports, sources and KPIs you already have and name the build that should come first.</w:t>
      </w:r>
    </w:p>
    <w:p>
      <w:pPr>
        <w:pStyle w:val="Heading3"/>
      </w:pPr>
      <w:r>
        <w:t xml:space="preserve">Prototype on a defined use case</w:t>
      </w:r>
    </w:p>
    <w:p>
      <w:pPr>
        <w:pStyle w:val="Normal"/>
      </w:pPr>
      <w:r>
        <w:t xml:space="preserve">A working dashboard on your own data for one agreed question, so you judge the result before a larger commitment.</w:t>
      </w:r>
    </w:p>
    <w:p>
      <w:pPr>
        <w:pStyle w:val="Label"/>
      </w:pPr>
      <w:r>
        <w:t xml:space="preserve">Tab: Build</w:t>
      </w:r>
    </w:p>
    <w:p>
      <w:r>
        <w:rPr>
          <w:b/>
          <w:bCs/>
          <w:color w:val="111827"/>
        </w:rPr>
        <w:t xml:space="preserve">Full delivery, from one department to every entity you own.</w:t>
      </w:r>
    </w:p>
    <w:p>
      <w:pPr>
        <w:pStyle w:val="Heading3"/>
      </w:pPr>
      <w:r>
        <w:t xml:space="preserve">Department rollout</w:t>
      </w:r>
    </w:p>
    <w:p>
      <w:pPr>
        <w:pStyle w:val="Normal"/>
      </w:pPr>
      <w:r>
        <w:t xml:space="preserve">One function's dashboards and reports delivered end to end, from KPI workshop to trained users.</w:t>
      </w:r>
    </w:p>
    <w:p>
      <w:pPr>
        <w:pStyle w:val="Heading3"/>
      </w:pPr>
      <w:r>
        <w:t xml:space="preserve">Enterprise reporting programme</w:t>
      </w:r>
    </w:p>
    <w:p>
      <w:pPr>
        <w:pStyle w:val="Normal"/>
      </w:pPr>
      <w:r>
        <w:t xml:space="preserve">Several departments or entities brought onto shared definitions and one model, phased so each release is usable on its own.</w:t>
      </w:r>
    </w:p>
    <w:p>
      <w:pPr>
        <w:pStyle w:val="Label"/>
      </w:pPr>
      <w:r>
        <w:t xml:space="preserve">Tab: Extend</w:t>
      </w:r>
    </w:p>
    <w:p>
      <w:r>
        <w:rPr>
          <w:b/>
          <w:bCs/>
          <w:color w:val="111827"/>
        </w:rPr>
        <w:t xml:space="preserve">Extra capacity and ongoing care once your reporting is live.</w:t>
      </w:r>
    </w:p>
    <w:p>
      <w:pPr>
        <w:pStyle w:val="Heading3"/>
      </w:pPr>
      <w:r>
        <w:t xml:space="preserve">Specialists on demand</w:t>
      </w:r>
    </w:p>
    <w:p>
      <w:pPr>
        <w:pStyle w:val="Normal"/>
      </w:pPr>
      <w:r>
        <w:t xml:space="preserve">Our visualisation and data specialists work alongside your staff, project by project or on a retainer.</w:t>
      </w:r>
    </w:p>
    <w:p>
      <w:pPr>
        <w:pStyle w:val="Heading3"/>
      </w:pPr>
      <w:r>
        <w:t xml:space="preserve">Managed support</w:t>
      </w:r>
    </w:p>
    <w:p>
      <w:pPr>
        <w:pStyle w:val="Normal"/>
      </w:pPr>
      <w:r>
        <w:t xml:space="preserve">We monitor refreshes, resolve faults, run health checks, extend reporting when new questions arise and train new starters.</w:t>
      </w:r>
    </w:p>
    <w:p>
      <w:pPr>
        <w:pStyle w:val="Marker"/>
      </w:pPr>
      <w:r>
        <w:t xml:space="preserve">S11 · WHY UAE BUSINESSES CHOOSE HLB HAMT (6 TILES)</w:t>
      </w:r>
    </w:p>
    <w:p>
      <w:pPr>
        <w:pStyle w:val="Eyebrow"/>
      </w:pPr>
      <w:r>
        <w:t xml:space="preserve">HLB HAMT ADVANTAGE</w:t>
      </w:r>
    </w:p>
    <w:p>
      <w:pPr>
        <w:pStyle w:val="Heading2"/>
      </w:pPr>
      <w:r>
        <w:t xml:space="preserve">Why UAE Businesses Choose HLB HAMT for Data Visualisation Services</w:t>
      </w:r>
    </w:p>
    <w:p>
      <w:pPr>
        <w:pStyle w:val="Lede"/>
      </w:pPr>
      <w:r>
        <w:t xml:space="preserve">Our team judges its work by whether your people trust the figures and open the reports.</w:t>
      </w:r>
    </w:p>
    <w:p>
      <w:pPr>
        <w:pStyle w:val="Heading3"/>
      </w:pPr>
      <w:r>
        <w:t xml:space="preserve">Numbers that reconcile</w:t>
      </w:r>
    </w:p>
    <w:p>
      <w:pPr>
        <w:pStyle w:val="Normal"/>
      </w:pPr>
      <w:r>
        <w:t xml:space="preserve">Accountants and engineers build each report together, so totals match your general ledger at month end.</w:t>
      </w:r>
    </w:p>
    <w:p>
      <w:pPr>
        <w:pStyle w:val="Heading3"/>
      </w:pPr>
      <w:r>
        <w:t xml:space="preserve">Modelling and design in one team</w:t>
      </w:r>
    </w:p>
    <w:p>
      <w:pPr>
        <w:pStyle w:val="Normal"/>
      </w:pPr>
      <w:r>
        <w:t xml:space="preserve">The people who structure your data also lay out the views, keeping intent intact from model to page.</w:t>
      </w:r>
    </w:p>
    <w:p>
      <w:pPr>
        <w:pStyle w:val="Heading3"/>
      </w:pPr>
      <w:r>
        <w:t xml:space="preserve">Designed for adoption</w:t>
      </w:r>
    </w:p>
    <w:p>
      <w:pPr>
        <w:pStyle w:val="Normal"/>
      </w:pPr>
      <w:r>
        <w:t xml:space="preserve">Layouts are tested with real users, so reports get opened, not archived.</w:t>
      </w:r>
    </w:p>
    <w:p>
      <w:pPr>
        <w:pStyle w:val="Heading3"/>
      </w:pPr>
      <w:r>
        <w:t xml:space="preserve">Secure by role</w:t>
      </w:r>
    </w:p>
    <w:p>
      <w:pPr>
        <w:pStyle w:val="Normal"/>
      </w:pPr>
      <w:r>
        <w:t xml:space="preserve">Each audience sees only the data it should, with access revisited whenever your organisation changes shape.</w:t>
      </w:r>
    </w:p>
    <w:p>
      <w:pPr>
        <w:pStyle w:val="Heading3"/>
      </w:pPr>
      <w:r>
        <w:t xml:space="preserve">One firm for Power BI, visualisation and analytics</w:t>
      </w:r>
    </w:p>
    <w:p>
      <w:pPr>
        <w:pStyle w:val="Normal"/>
      </w:pPr>
      <w:r>
        <w:t xml:space="preserve">Reporting today, with forecasting and prediction added from the same firm when your data is ready.</w:t>
      </w:r>
    </w:p>
    <w:p>
      <w:pPr>
        <w:pStyle w:val="Heading3"/>
      </w:pPr>
      <w:r>
        <w:t xml:space="preserve">Delivered from Dubai</w:t>
      </w:r>
    </w:p>
    <w:p>
      <w:pPr>
        <w:pStyle w:val="Normal"/>
      </w:pPr>
      <w:r>
        <w:t xml:space="preserve">Our consultants scope, build and support your reporting from Dubai, and meet your stakeholders in person.</w:t>
      </w:r>
    </w:p>
    <w:p>
      <w:pPr>
        <w:pStyle w:val="Marker"/>
      </w:pPr>
      <w:r>
        <w:t xml:space="preserve">S12 · SEE IT IN ACTION (STATIC ASSET TEASER; NO BUTTON)</w:t>
      </w:r>
    </w:p>
    <w:p>
      <w:pPr>
        <w:pStyle w:val="Eyebrow"/>
      </w:pPr>
      <w:r>
        <w:t xml:space="preserve">SEE IT IN ACTION</w:t>
      </w:r>
    </w:p>
    <w:p>
      <w:pPr>
        <w:pStyle w:val="Heading2"/>
      </w:pPr>
      <w:r>
        <w:t xml:space="preserve">Inside an HLB HAMT Executive Dashboard</w:t>
      </w:r>
    </w:p>
    <w:p>
      <w:pPr>
        <w:pStyle w:val="Lede"/>
      </w:pPr>
      <w:r>
        <w:t xml:space="preserve">A sample executive view: group KPIs against target, with each figure opening onto the entity behind it and, from there, the individual transactions. Shown on illustrative data.</w:t>
      </w:r>
    </w:p>
    <w:p>
      <w:pPr>
        <w:pStyle w:val="Placeholder"/>
      </w:pPr>
      <w:r>
        <w:rPr>
          <w:b/>
          <w:bCs/>
        </w:rPr>
        <w:t xml:space="preserve">IMAGE PLACEHOLDER: </w:t>
      </w:r>
      <w:r>
        <w:t xml:space="preserve">Static executive-dashboard screenshot or GIF to be supplied (brief Section 10, point 8). No button.</w:t>
      </w:r>
    </w:p>
    <w:p>
      <w:pPr>
        <w:pStyle w:val="Marker"/>
      </w:pPr>
      <w:r>
        <w:t xml:space="preserve">S13 · MID-PAGE CTA B · CTA 3</w:t>
      </w:r>
    </w:p>
    <w:p>
      <w:pPr>
        <w:pStyle w:val="Heading2"/>
      </w:pPr>
      <w:r>
        <w:t xml:space="preserve">Talk to Our Data Visualisation Experts in UAE</w:t>
      </w:r>
    </w:p>
    <w:p>
      <w:pPr>
        <w:pStyle w:val="Normal"/>
      </w:pPr>
      <w:r>
        <w:t xml:space="preserve">Book a free consultation and we will map your audiences, KPIs and sources, then sketch the scope of a first build.</w:t>
      </w:r>
    </w:p>
    <w:p>
      <w:pPr>
        <w:pStyle w:val="Button"/>
      </w:pPr>
      <w:r>
        <w:rPr>
          <w:b/>
          <w:bCs/>
        </w:rPr>
        <w:t xml:space="preserve">Button: </w:t>
      </w:r>
      <w:hyperlink w:history="1" w:anchor="contact">
        <w:r>
          <w:rPr>
            <w:rStyle w:val="Hyperlink"/>
            <w:color w:val="0563C1"/>
            <w:u w:val="single"/>
          </w:rPr>
          <w:t xml:space="preserve">Talk to our visualisation team</w:t>
        </w:r>
      </w:hyperlink>
      <w:r>
        <w:t xml:space="preserve">  →  #contact</w:t>
      </w:r>
    </w:p>
    <w:p>
      <w:pPr>
        <w:pStyle w:val="Marker"/>
      </w:pPr>
      <w:r>
        <w:t xml:space="preserve">S14 · FAQ (SINGLE ACCORDION, FIRST ITEM OPEN) · #FAQ</w:t>
      </w:r>
    </w:p>
    <w:p>
      <w:pPr>
        <w:pStyle w:val="Eyebrow"/>
      </w:pPr>
      <w:r>
        <w:t xml:space="preserve">COMMON QUESTIONS</w:t>
      </w:r>
    </w:p>
    <w:p>
      <w:pPr>
        <w:pStyle w:val="Heading2"/>
      </w:pPr>
      <w:bookmarkStart w:name="faq" w:id="7"/>
      <w:r>
        <w:t xml:space="preserve">Your Questions About Data Visualisation Services in UAE</w:t>
      </w:r>
      <w:bookmarkEnd w:id="7"/>
    </w:p>
    <w:p>
      <w:pPr>
        <w:pStyle w:val="Heading3"/>
      </w:pPr>
      <w:r>
        <w:t xml:space="preserve">What does data visualisation do for a business, and what does HLB HAMT deliver?</w:t>
      </w:r>
    </w:p>
    <w:p>
      <w:pPr>
        <w:pStyle w:val="Normal"/>
      </w:pPr>
      <w:r>
        <w:t xml:space="preserve">Data visualisation is the design of charts, dashboards and interactive reports that make a large body of figures readable in minutes and open to follow-up questions. HLB HAMT delivers the whole chain behind that: agreed KPI definitions, prepared and governed data, designed and tested views, and training and support once they are live. The aim is reporting your people open daily and act on.</w:t>
      </w:r>
    </w:p>
    <w:p>
      <w:pPr>
        <w:pStyle w:val="Heading3"/>
      </w:pPr>
      <w:r>
        <w:t xml:space="preserve">How is data visualisation different from data analytics?</w:t>
      </w:r>
    </w:p>
    <w:p>
      <w:pPr>
        <w:pStyle w:val="Normal"/>
      </w:pPr>
      <w:r>
        <w:t xml:space="preserve">Analytics is the investigative work of testing and modelling data to explain a result. Visualisation is the presentation layer that turns those findings into pages a manager can act on. One without the other tends to stall. HLB HAMT offers both: we design and build the reporting, and our </w:t>
      </w:r>
      <w:hyperlink w:history="1" r:id="rIdpot-hah0g4hyu3gdsugrq">
        <w:r>
          <w:rPr>
            <w:rStyle w:val="Hyperlink"/>
            <w:color w:val="0563C1"/>
            <w:u w:val="single"/>
          </w:rPr>
          <w:t xml:space="preserve">advanced analytics services</w:t>
        </w:r>
      </w:hyperlink>
      <w:r>
        <w:t xml:space="preserve"> handle forecasting, prediction and segmentation. Both run on the same governed data.</w:t>
      </w:r>
    </w:p>
    <w:p>
      <w:pPr>
        <w:pStyle w:val="Heading3"/>
      </w:pPr>
      <w:r>
        <w:t xml:space="preserve">Which data analytics and visualisation software do you work with?</w:t>
      </w:r>
    </w:p>
    <w:p>
      <w:pPr>
        <w:pStyle w:val="Normal"/>
      </w:pPr>
      <w:r>
        <w:t xml:space="preserve">Our primary platform is Power BI, which we deliver through our dedicated </w:t>
      </w:r>
      <w:hyperlink w:history="1" r:id="rId3xypzteztjsu6e_f_vxko">
        <w:r>
          <w:rPr>
            <w:rStyle w:val="Hyperlink"/>
            <w:color w:val="0563C1"/>
            <w:u w:val="single"/>
          </w:rPr>
          <w:t xml:space="preserve">Power BI services</w:t>
        </w:r>
      </w:hyperlink>
      <w:r>
        <w:t xml:space="preserve">. As a reselling partner, we can also supply the licences you need, sized to the number and type of users. If your reporting currently runs on another tool, we migrate it and preserve the business rules behind it. Where a requirement calls for something different, we say so during the first stage.</w:t>
      </w:r>
    </w:p>
    <w:p>
      <w:pPr>
        <w:pStyle w:val="Heading3"/>
      </w:pPr>
      <w:r>
        <w:t xml:space="preserve">How long does it take to build a dashboard?</w:t>
      </w:r>
    </w:p>
    <w:p>
      <w:pPr>
        <w:pStyle w:val="Normal"/>
      </w:pPr>
      <w:r>
        <w:t xml:space="preserve">It depends on scope. A single department usually takes two to four weeks, a multi-department rollout six to ten weeks, and an enterprise-scale programme three to six months. Within the first two weeks, you normally have a working prototype on your own data to review. We commit to dates at the end of the dashboard review, when we have seen your reports, sources and KPIs first-hand.</w:t>
      </w:r>
    </w:p>
    <w:p>
      <w:pPr>
        <w:pStyle w:val="Heading3"/>
      </w:pPr>
      <w:r>
        <w:t xml:space="preserve">Can you bring data from several disconnected systems into one dashboard?</w:t>
      </w:r>
    </w:p>
    <w:p>
      <w:pPr>
        <w:pStyle w:val="Normal"/>
      </w:pPr>
      <w:r>
        <w:t xml:space="preserve">Yes. We regularly combine ERP, CRM, finance and HR systems with databases, spreadsheets, cloud applications and APIs. Automated pipelines pull from each source on a schedule, match records that describe the same customer, product or entity, and load them into one model. Reports then read from that model, so a figure shown in two places is calculated once.</w:t>
      </w:r>
    </w:p>
    <w:p>
      <w:pPr>
        <w:pStyle w:val="Heading3"/>
      </w:pPr>
      <w:r>
        <w:t xml:space="preserve">How do you keep dashboards accurate and secure?</w:t>
      </w:r>
    </w:p>
    <w:p>
      <w:pPr>
        <w:pStyle w:val="Normal"/>
      </w:pPr>
      <w:r>
        <w:t xml:space="preserve">We build accuracy checks into every stage: each figure is validated against its source, reconciliation tests run on every refresh, and an owner is alerted if a scheduled refresh fails. Row-level security limits each user to the records their role permits. Where reports show personal data, our </w:t>
      </w:r>
      <w:hyperlink w:history="1" r:id="rIdvpis0hjjriiaz5ricwjkj">
        <w:r>
          <w:rPr>
            <w:rStyle w:val="Hyperlink"/>
            <w:color w:val="0563C1"/>
            <w:u w:val="single"/>
          </w:rPr>
          <w:t xml:space="preserve">data protection advisory</w:t>
        </w:r>
      </w:hyperlink>
      <w:r>
        <w:t xml:space="preserve"> team helps us design them in line with the UAE Personal Data Protection Law, Federal Decree-Law No. 45 of 2021.</w:t>
      </w:r>
      <w:r>
        <w:rPr>
          <w:b/>
          <w:bCs/>
          <w:color w:val="005A77"/>
          <w:vertAlign w:val="superscript"/>
        </w:rPr>
        <w:t xml:space="preserve">4</w:t>
      </w:r>
    </w:p>
    <w:p>
      <w:pPr>
        <w:pStyle w:val="Heading3"/>
      </w:pPr>
      <w:r>
        <w:t xml:space="preserve">What return can we expect from investing in data visualisation?</w:t>
      </w:r>
    </w:p>
    <w:p>
      <w:pPr>
        <w:pStyle w:val="Normal"/>
      </w:pPr>
      <w:r>
        <w:t xml:space="preserve">The gains are practical: less time spent assembling reports by hand, quicker decisions, one agreed set of figures in every meeting and earlier sight of cost and revenue movements. We do not quote a blanket percentage, because the return depends on your starting point. Instead, we </w:t>
      </w:r>
      <w:hyperlink w:history="1" w:anchor="methodology">
        <w:r>
          <w:rPr>
            <w:rStyle w:val="Hyperlink"/>
            <w:color w:val="0563C1"/>
            <w:u w:val="single"/>
          </w:rPr>
          <w:t xml:space="preserve">agree the measures</w:t>
        </w:r>
      </w:hyperlink>
      <w:r>
        <w:t xml:space="preserve"> with you at the outset and report against them after launch.</w:t>
      </w:r>
    </w:p>
    <w:p>
      <w:pPr>
        <w:pStyle w:val="Heading3"/>
      </w:pPr>
      <w:r>
        <w:t xml:space="preserve">Can you improve the dashboards we already have?</w:t>
      </w:r>
    </w:p>
    <w:p>
      <w:pPr>
        <w:pStyle w:val="Normal"/>
      </w:pPr>
      <w:r>
        <w:t xml:space="preserve">Yes. When existing reports go unused, the cause is usually clarity: unclear KPIs, too many visuals on one page or no obvious starting point. Slowness tends to follow from unmodelled data and heavy calculations. We review how each report is used, redesign pages around the questions people actually ask, then tune the model behind them until they load quickly.</w:t>
      </w:r>
    </w:p>
    <w:p>
      <w:pPr>
        <w:pStyle w:val="Heading3"/>
      </w:pPr>
      <w:r>
        <w:t xml:space="preserve">Can you move our reports from another tool without losing business logic?</w:t>
      </w:r>
    </w:p>
    <w:p>
      <w:pPr>
        <w:pStyle w:val="Normal"/>
      </w:pPr>
      <w:r>
        <w:t xml:space="preserve">Yes. We start with an inventory of every report, measure and definition you have today, then map each calculation to its new form. Rebuilt reports run alongside the originals, and we reconcile the two until the outputs match before anyone switches over. Your users are trained on the new layouts, and the old tool can be retired once you are satisfied.</w:t>
      </w:r>
    </w:p>
    <w:p>
      <w:pPr>
        <w:pStyle w:val="Label"/>
      </w:pPr>
      <w:r>
        <w:t xml:space="preserve">Sources</w:t>
      </w:r>
    </w:p>
    <w:p>
      <w:pPr>
        <w:pStyle w:val="Small"/>
        <w:numPr>
          <w:ilvl w:val="0"/>
          <w:numId w:val="3"/>
        </w:numPr>
      </w:pPr>
      <w:hyperlink w:history="1" r:id="rIdan5d4qajvzgiyyqidv_uo">
        <w:r>
          <w:rPr>
            <w:rStyle w:val="Hyperlink"/>
            <w:color w:val="0563C1"/>
            <w:u w:val="single"/>
          </w:rPr>
          <w:t xml:space="preserve">UAE Government portal, "Global digital competitiveness" (updated 25 Nov 2025)</w:t>
        </w:r>
      </w:hyperlink>
      <w:r>
        <w:t xml:space="preserve">.</w:t>
      </w:r>
    </w:p>
    <w:p>
      <w:pPr>
        <w:pStyle w:val="Small"/>
        <w:numPr>
          <w:ilvl w:val="0"/>
          <w:numId w:val="3"/>
        </w:numPr>
      </w:pPr>
      <w:hyperlink w:history="1" r:id="rIdpiquefsra0yig1uqf0inc">
        <w:r>
          <w:rPr>
            <w:rStyle w:val="Hyperlink"/>
            <w:color w:val="0563C1"/>
            <w:u w:val="single"/>
          </w:rPr>
          <w:t xml:space="preserve">BARC, "BARC publishes the Data, BI and Analytics Trend Monitor 2026" (12 Nov 2025)</w:t>
        </w:r>
      </w:hyperlink>
      <w:r>
        <w:t xml:space="preserve">.</w:t>
      </w:r>
    </w:p>
    <w:p>
      <w:pPr>
        <w:pStyle w:val="Small"/>
        <w:numPr>
          <w:ilvl w:val="0"/>
          <w:numId w:val="3"/>
        </w:numPr>
      </w:pPr>
      <w:hyperlink w:history="1" r:id="rIdqxbrgemtekfso5rjpodjr">
        <w:r>
          <w:rPr>
            <w:rStyle w:val="Hyperlink"/>
            <w:color w:val="0563C1"/>
            <w:u w:val="single"/>
          </w:rPr>
          <w:t xml:space="preserve">Gartner, "Gartner Survey Finds One-Third of CDAOs Cite Measuring Data, Analytics and AI Impact as Top Challenge" (20 Feb 2025)</w:t>
        </w:r>
      </w:hyperlink>
      <w:r>
        <w:t xml:space="preserve"> (corroborated by </w:t>
      </w:r>
      <w:hyperlink w:history="1" r:id="rIdli4optn4gcoqsuo-qs7s5">
        <w:r>
          <w:rPr>
            <w:rStyle w:val="Hyperlink"/>
            <w:color w:val="0563C1"/>
            <w:u w:val="single"/>
          </w:rPr>
          <w:t xml:space="preserve">BigDATAwire</w:t>
        </w:r>
      </w:hyperlink>
      <w:r>
        <w:t xml:space="preserve">)</w:t>
      </w:r>
      <w:r>
        <w:t xml:space="preserve">.</w:t>
      </w:r>
    </w:p>
    <w:p>
      <w:pPr>
        <w:pStyle w:val="Small"/>
        <w:numPr>
          <w:ilvl w:val="0"/>
          <w:numId w:val="3"/>
        </w:numPr>
      </w:pPr>
      <w:hyperlink w:history="1" r:id="rIdut4kiaow066izw5gj3fod">
        <w:r>
          <w:rPr>
            <w:rStyle w:val="Hyperlink"/>
            <w:color w:val="0563C1"/>
            <w:u w:val="single"/>
          </w:rPr>
          <w:t xml:space="preserve">UAE Government portal, "Data protection laws"</w:t>
        </w:r>
      </w:hyperlink>
      <w:r>
        <w:t xml:space="preserve">.</w:t>
      </w:r>
    </w:p>
    <w:p>
      <w:pPr>
        <w:pStyle w:val="Marker"/>
      </w:pPr>
      <w:r>
        <w:t xml:space="preserve">S15 · FINAL CONTACT CTA AND FORM · CTA 4 · #CONTACT</w:t>
      </w:r>
    </w:p>
    <w:p>
      <w:pPr>
        <w:pStyle w:val="Heading2"/>
      </w:pPr>
      <w:bookmarkStart w:name="contact" w:id="8"/>
      <w:r>
        <w:t xml:space="preserve">Book Your Free Dashboard Consultation</w:t>
      </w:r>
      <w:bookmarkEnd w:id="8"/>
    </w:p>
    <w:p>
      <w:pPr>
        <w:pStyle w:val="Lede"/>
      </w:pPr>
      <w:r>
        <w:t xml:space="preserve">Tell us which decisions need better figures, and our visualisation team will reply within one business day.</w:t>
      </w:r>
    </w:p>
    <w:p>
      <w:pPr>
        <w:pStyle w:val="Note"/>
      </w:pPr>
      <w:r>
        <w:t xml:space="preserve">Form: site-standard "Let's Connect" form component. "Select your Services" defaults to "Technology Consulting".</w:t>
      </w:r>
    </w:p>
    <w:p>
      <w:pPr>
        <w:pStyle w:val="Button"/>
      </w:pPr>
      <w:r>
        <w:rPr>
          <w:b/>
          <w:bCs/>
        </w:rPr>
        <w:t xml:space="preserve">Form submit button: </w:t>
      </w:r>
      <w:r>
        <w:t xml:space="preserve">Schedule a Consultation</w:t>
      </w:r>
    </w:p>
    <w:p>
      <w:pPr>
        <w:pStyle w:val="Marker"/>
      </w:pPr>
      <w:r>
        <w:t xml:space="preserve">S16 · FOOTER</w:t>
      </w:r>
    </w:p>
    <w:p>
      <w:pPr>
        <w:pStyle w:val="Note"/>
      </w:pPr>
      <w:r>
        <w:t xml:space="preserve">Global site footer. No new copy.</w:t>
      </w:r>
    </w:p>
    <w:sectPr>
      <w:headerReference w:type="default" r:id="rId6"/>
      <w:footerReference w:type="default" r:id="rId7"/>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B7280"/>
        <w:sz w:val="16"/>
        <w:szCs w:val="16"/>
      </w:rPr>
      <w:t xml:space="preserve">Page </w:t>
    </w:r>
    <w:r>
      <w:rPr>
        <w:color w:val="6B7280"/>
        <w:sz w:val="16"/>
        <w:szCs w:val="16"/>
      </w:rPr>
      <w:fldChar w:fldCharType="begin"/>
      <w:instrText xml:space="preserve">PAGE</w:instrText>
      <w:fldChar w:fldCharType="separate"/>
      <w:fldChar w:fldCharType="end"/>
    </w:r>
    <w:r>
      <w:rPr>
        <w:color w:val="6B7280"/>
        <w:sz w:val="16"/>
        <w:szCs w:val="16"/>
      </w:rPr>
      <w:t xml:space="preserve"> of </w:t>
    </w:r>
    <w:r>
      <w:rPr>
        <w:color w:val="6B72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B7280"/>
        <w:sz w:val="16"/>
        <w:szCs w:val="16"/>
      </w:rPr>
      <w:t xml:space="preserve">HLB HAMT  |  Data Visualisation Services homepage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abstractNum w:abstractNumId="3"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4B5563"/>
        <w:sz w:val="21"/>
        <w:szCs w:val="21"/>
      </w:rPr>
    </w:rPrDefault>
    <w:pPrDefault>
      <w:pPr>
        <w:spacing w:after="120" w:line="288" w:lineRule="auto"/>
      </w:pPr>
    </w:pPrDefault>
  </w:docDefaults>
  <w:style w:type="paragraph" w:styleId="Normal" w:default="1">
    <w:name w:val="Normal"/>
    <w:qFormat/>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pPr>
      <w:spacing w:after="120" w:before="240"/>
    </w:pPr>
    <w:rPr>
      <w:rFonts w:ascii="Arial" w:cs="Arial" w:eastAsia="Arial" w:hAnsi="Arial"/>
      <w:b/>
      <w:bCs/>
      <w:color w:val="005A77"/>
      <w:sz w:val="44"/>
      <w:szCs w:val="44"/>
    </w:rPr>
  </w:style>
  <w:style w:type="paragraph" w:styleId="Subtitle">
    <w:name w:val="Subtitle"/>
    <w:basedOn w:val="Normal"/>
    <w:next w:val="Normal"/>
    <w:pPr>
      <w:spacing w:after="160"/>
    </w:pPr>
    <w:rPr>
      <w:rFonts w:ascii="Arial" w:cs="Arial" w:eastAsia="Arial" w:hAnsi="Arial"/>
      <w:color w:val="4B5563"/>
      <w:sz w:val="24"/>
      <w:szCs w:val="24"/>
    </w:rPr>
  </w:style>
  <w:style w:type="paragraph" w:styleId="Heading1">
    <w:name w:val="Heading 1"/>
    <w:basedOn w:val="Normal"/>
    <w:next w:val="Normal"/>
    <w:qFormat/>
    <w:pPr>
      <w:keepNext/>
      <w:spacing w:after="200" w:before="120" w:line="252" w:lineRule="auto"/>
      <w:outlineLvl w:val="0"/>
    </w:pPr>
    <w:rPr>
      <w:rFonts w:ascii="Arial" w:cs="Arial" w:eastAsia="Arial" w:hAnsi="Arial"/>
      <w:b/>
      <w:bCs/>
      <w:color w:val="005A77"/>
      <w:sz w:val="40"/>
      <w:szCs w:val="40"/>
    </w:rPr>
  </w:style>
  <w:style w:type="paragraph" w:styleId="Heading2">
    <w:name w:val="Heading 2"/>
    <w:basedOn w:val="Normal"/>
    <w:next w:val="Normal"/>
    <w:qFormat/>
    <w:pPr>
      <w:keepNext/>
      <w:spacing w:after="140" w:before="120" w:line="264" w:lineRule="auto"/>
      <w:outlineLvl w:val="1"/>
    </w:pPr>
    <w:rPr>
      <w:rFonts w:ascii="Arial" w:cs="Arial" w:eastAsia="Arial" w:hAnsi="Arial"/>
      <w:b/>
      <w:bCs/>
      <w:color w:val="111827"/>
      <w:sz w:val="30"/>
      <w:szCs w:val="30"/>
    </w:rPr>
  </w:style>
  <w:style w:type="paragraph" w:styleId="Heading3">
    <w:name w:val="Heading 3"/>
    <w:basedOn w:val="Normal"/>
    <w:next w:val="Normal"/>
    <w:qFormat/>
    <w:pPr>
      <w:keepNext/>
      <w:spacing w:after="60" w:before="160" w:line="264" w:lineRule="auto"/>
      <w:outlineLvl w:val="2"/>
    </w:pPr>
    <w:rPr>
      <w:rFonts w:ascii="Arial" w:cs="Arial" w:eastAsia="Arial" w:hAnsi="Arial"/>
      <w:b/>
      <w:bCs/>
      <w:color w:val="111827"/>
      <w:sz w:val="23"/>
      <w:szCs w:val="23"/>
    </w:rPr>
  </w:style>
  <w:style w:type="paragraph" w:styleId="Eyebrow">
    <w:name w:val="Eyebrow"/>
    <w:basedOn w:val="Normal"/>
    <w:next w:val="Normal"/>
    <w:pPr>
      <w:keepNext/>
      <w:spacing w:after="60" w:before="120"/>
    </w:pPr>
    <w:rPr>
      <w:b/>
      <w:bCs/>
      <w:color w:val="8A6500"/>
      <w:spacing w:val="30"/>
      <w:sz w:val="16"/>
      <w:szCs w:val="16"/>
    </w:rPr>
  </w:style>
  <w:style w:type="paragraph" w:styleId="Lede">
    <w:name w:val="Lede"/>
    <w:basedOn w:val="Normal"/>
    <w:next w:val="Normal"/>
    <w:pPr>
      <w:spacing w:after="160"/>
    </w:pPr>
    <w:rPr>
      <w:color w:val="111827"/>
      <w:sz w:val="23"/>
      <w:szCs w:val="23"/>
    </w:rPr>
  </w:style>
  <w:style w:type="paragraph" w:styleId="Label">
    <w:name w:val="Label"/>
    <w:basedOn w:val="Normal"/>
    <w:next w:val="Normal"/>
    <w:pPr>
      <w:keepNext/>
      <w:spacing w:after="40" w:before="140"/>
    </w:pPr>
    <w:rPr>
      <w:b/>
      <w:bCs/>
      <w:color w:val="005A77"/>
      <w:spacing w:val="20"/>
      <w:sz w:val="16"/>
      <w:szCs w:val="16"/>
    </w:rPr>
  </w:style>
  <w:style w:type="paragraph" w:styleId="Number">
    <w:name w:val="Number"/>
    <w:basedOn w:val="Normal"/>
    <w:next w:val="Normal"/>
    <w:pPr>
      <w:keepNext/>
      <w:spacing w:after="0" w:before="160"/>
    </w:pPr>
    <w:rPr>
      <w:b/>
      <w:bCs/>
      <w:color w:val="8A6500"/>
      <w:sz w:val="18"/>
      <w:szCs w:val="18"/>
    </w:rPr>
  </w:style>
  <w:style w:type="paragraph" w:styleId="SubBlock">
    <w:name w:val="Sub-block title"/>
    <w:basedOn w:val="Normal"/>
    <w:next w:val="Normal"/>
    <w:pPr>
      <w:keepNext/>
      <w:spacing w:after="60" w:before="200"/>
    </w:pPr>
    <w:rPr>
      <w:b/>
      <w:bCs/>
      <w:color w:val="005A77"/>
      <w:sz w:val="26"/>
      <w:szCs w:val="26"/>
    </w:rPr>
  </w:style>
  <w:style w:type="paragraph" w:styleId="Button">
    <w:name w:val="Button note"/>
    <w:basedOn w:val="Normal"/>
    <w:next w:val="Normal"/>
    <w:pPr>
      <w:spacing w:after="60"/>
    </w:pPr>
    <w:rPr>
      <w:color w:val="4B5563"/>
      <w:sz w:val="18"/>
      <w:szCs w:val="18"/>
    </w:rPr>
  </w:style>
  <w:style w:type="paragraph" w:styleId="Note">
    <w:name w:val="Production note"/>
    <w:basedOn w:val="Normal"/>
    <w:next w:val="Normal"/>
    <w:rPr>
      <w:i/>
      <w:iCs/>
      <w:color w:val="4B5563"/>
      <w:sz w:val="18"/>
      <w:szCs w:val="18"/>
    </w:rPr>
  </w:style>
  <w:style w:type="paragraph" w:styleId="Small">
    <w:name w:val="Small"/>
    <w:basedOn w:val="Normal"/>
    <w:next w:val="Normal"/>
    <w:rPr>
      <w:sz w:val="18"/>
      <w:szCs w:val="18"/>
    </w:rPr>
  </w:style>
  <w:style w:type="paragraph" w:styleId="Marker">
    <w:name w:val="Section marker"/>
    <w:basedOn w:val="Normal"/>
    <w:next w:val="Normal"/>
    <w:pPr>
      <w:keepNext/>
      <w:pBdr>
        <w:left w:val="single" w:color="005A77" w:sz="24" w:space="4"/>
      </w:pBdr>
      <w:shd w:fill="E5E7EB" w:color="auto" w:val="clear"/>
      <w:spacing w:after="120" w:before="320"/>
    </w:pPr>
    <w:rPr>
      <w:b/>
      <w:bCs/>
      <w:color w:val="374151"/>
      <w:spacing w:val="20"/>
      <w:sz w:val="15"/>
      <w:szCs w:val="15"/>
    </w:rPr>
  </w:style>
  <w:style w:type="paragraph" w:styleId="Placeholder">
    <w:name w:val="Placeholder"/>
    <w:basedOn w:val="Normal"/>
    <w:next w:val="Normal"/>
    <w:pPr>
      <w:pBdr>
        <w:top w:val="dashed" w:color="C89400" w:sz="8" w:space="4"/>
        <w:left w:val="dashed" w:color="C89400" w:sz="8" w:space="4"/>
        <w:bottom w:val="dashed" w:color="C89400" w:sz="8" w:space="4"/>
        <w:right w:val="dashed" w:color="C89400" w:sz="8" w:space="4"/>
      </w:pBdr>
      <w:shd w:fill="FFFBEB" w:color="auto" w:val="clear"/>
      <w:spacing w:after="160" w:before="120"/>
    </w:pPr>
    <w:rPr>
      <w:color w:val="7C5E00"/>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tofqxzhdfy5efy3szha9m" Type="http://schemas.openxmlformats.org/officeDocument/2006/relationships/hyperlink" Target="https://hlbhamt.com/services/digital-transformation-uae/" TargetMode="External"/><Relationship Id="rIdt4f0ej8b1pxc-osgt2wie" Type="http://schemas.openxmlformats.org/officeDocument/2006/relationships/hyperlink" Target="https://hlbhamt.com/services/power-bi-partner-in-dubai-uae/" TargetMode="External"/><Relationship Id="rIdz4sioopxqxt-culbfyrqv" Type="http://schemas.openxmlformats.org/officeDocument/2006/relationships/hyperlink" Target="https://hlbhamt.com/services/advanced-data-analytics-uae/" TargetMode="External"/><Relationship Id="rIdieh9r9d4c_tauxcyk1zwk" Type="http://schemas.openxmlformats.org/officeDocument/2006/relationships/hyperlink" Target="https://hlbhamt.com/services/data-privacy-and-security-uae/" TargetMode="External"/><Relationship Id="rIdqw6gzgn9rptkobecgycn6" Type="http://schemas.openxmlformats.org/officeDocument/2006/relationships/hyperlink" Target="https://hlbhamt.com/sugarai-crm-2/" TargetMode="External"/><Relationship Id="rId23isiqpjx8m9uo731kpgo" Type="http://schemas.openxmlformats.org/officeDocument/2006/relationships/hyperlink" Target="https://hlbhamt.com/" TargetMode="External"/><Relationship Id="rIdvhr_zuo1f1sy3ctfpzlnx" Type="http://schemas.openxmlformats.org/officeDocument/2006/relationships/hyperlink" Target="https://hlbhamt.com/services/technology-consulting-services-dubai-uae/" TargetMode="External"/><Relationship Id="rIdkxjqnejgufiidxqtutegj" Type="http://schemas.openxmlformats.org/officeDocument/2006/relationships/hyperlink" Target="https://hlbhamt.com/services/digital-transformation-uae/" TargetMode="External"/><Relationship Id="rIdtg4ouuzvg3cup7vae-fmx" Type="http://schemas.openxmlformats.org/officeDocument/2006/relationships/hyperlink" Target="https://u.ae/en/about-the-uae/uae-competitiveness/global-digital-competitiveness" TargetMode="External"/><Relationship Id="rIdbxrhlkrhnyaj1ve_pjavm" Type="http://schemas.openxmlformats.org/officeDocument/2006/relationships/hyperlink" Target="https://hlbhamt.com/services/digital-transformation-uae/" TargetMode="External"/><Relationship Id="rIdaluo3ethnastuko2rrh2g" Type="http://schemas.openxmlformats.org/officeDocument/2006/relationships/hyperlink" Target="https://hlbhamt.com/sugarai-crm-2/" TargetMode="External"/><Relationship Id="rIdpot-hah0g4hyu3gdsugrq" Type="http://schemas.openxmlformats.org/officeDocument/2006/relationships/hyperlink" Target="https://hlbhamt.com/services/advanced-data-analytics-uae/" TargetMode="External"/><Relationship Id="rId3xypzteztjsu6e_f_vxko" Type="http://schemas.openxmlformats.org/officeDocument/2006/relationships/hyperlink" Target="https://hlbhamt.com/services/power-bi-partner-in-dubai-uae/" TargetMode="External"/><Relationship Id="rIdvpis0hjjriiaz5ricwjkj" Type="http://schemas.openxmlformats.org/officeDocument/2006/relationships/hyperlink" Target="https://hlbhamt.com/services/data-privacy-and-security-uae/" TargetMode="External"/><Relationship Id="rIdan5d4qajvzgiyyqidv_uo" Type="http://schemas.openxmlformats.org/officeDocument/2006/relationships/hyperlink" Target="https://u.ae/en/about-the-uae/uae-competitiveness/global-digital-competitiveness" TargetMode="External"/><Relationship Id="rIdpiquefsra0yig1uqf0inc" Type="http://schemas.openxmlformats.org/officeDocument/2006/relationships/hyperlink" Target="https://barc.com/news/barc-publishes-the-data-bi-and-analytics-trend-monitor-2026/" TargetMode="External"/><Relationship Id="rIdqxbrgemtekfso5rjpodjr" Type="http://schemas.openxmlformats.org/officeDocument/2006/relationships/hyperlink" Target="https://www.gartner.com/en/newsroom/press-releases/2025-02-20-gartner-survey-finds-one-third-of-cdaos-cite-measuring-data-analytics-and-ai-impact-as-top-challenge" TargetMode="External"/><Relationship Id="rIdli4optn4gcoqsuo-qs7s5" Type="http://schemas.openxmlformats.org/officeDocument/2006/relationships/hyperlink" Target="https://bigdatawire.com/2025/02/24/cdoas-are-struggling-to-measure-data-analytics-and-ai-impact-gartner-report" TargetMode="External"/><Relationship Id="rIdut4kiaow066izw5gj3fod" Type="http://schemas.openxmlformats.org/officeDocument/2006/relationships/hyperlink" Target="https://u.ae/en/about-the-uae/digital-uae/data/data-protection-laws" TargetMode="External"/><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Visualisation Services Homepage</dc:title>
  <dc:creator>HLB HAMT</dc:creator>
  <dc:description>Final page copy: data-visualization-services-homepage</dc:description>
  <cp:lastModifiedBy>Un-named</cp:lastModifiedBy>
  <cp:revision>1</cp:revision>
  <dcterms:created xsi:type="dcterms:W3CDTF">2026-09-30T02:30:11.760Z</dcterms:created>
  <dcterms:modified xsi:type="dcterms:W3CDTF">2026-09-30T02:30:11.761Z</dcterms:modified>
</cp:coreProperties>
</file>

<file path=docProps/custom.xml><?xml version="1.0" encoding="utf-8"?>
<Properties xmlns="http://schemas.openxmlformats.org/officeDocument/2006/custom-properties" xmlns:vt="http://schemas.openxmlformats.org/officeDocument/2006/docPropsVTypes"/>
</file>