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SugarAI CRM - Field Service Management Sub-page</w:t>
      </w:r>
    </w:p>
    <w:p>
      <w:pPr>
        <w:pStyle w:val="SectionLabel"/>
      </w:pPr>
      <w:r>
        <w:t xml:space="preserve">Page metadata &amp; SEO</w:t>
      </w:r>
    </w:p>
    <w:tbl>
      <w:tblPr>
        <w:tblW w:type="dxa" w:w="9792"/>
        <w:tblBorders>
          <w:top w:val="single" w:color="BFCFDC" w:sz="4"/>
          <w:left w:val="single" w:color="BFCFDC" w:sz="4"/>
          <w:bottom w:val="single" w:color="BFCFDC" w:sz="4"/>
          <w:right w:val="single" w:color="BFCFDC" w:sz="4"/>
          <w:insideH w:val="single" w:color="BFCFDC" w:sz="4"/>
          <w:insideV w:val="single" w:color="BFCFDC" w:sz="4"/>
        </w:tblBorders>
      </w:tblPr>
      <w:tblGrid>
        <w:gridCol w:w="2475"/>
        <w:gridCol w:w="7317"/>
      </w:tblGrid>
      <w:tr>
        <w:trPr>
          <w:cantSplit/>
          <w:tblHeader/>
        </w:trPr>
        <w:tc>
          <w:tcPr>
            <w:tcW w:type="dxa" w:w="2475"/>
            <w:shd w:fill="10538F" w:color="auto" w:val="clear"/>
            <w:tcMar>
              <w:top w:type="dxa" w:w="80"/>
              <w:left w:type="dxa" w:w="120"/>
              <w:bottom w:type="dxa" w:w="80"/>
              <w:right w:type="dxa" w:w="120"/>
            </w:tcMar>
          </w:tcPr>
          <w:p>
            <w:pPr>
              <w:pStyle w:val="TableText"/>
              <w:keepNext/>
            </w:pPr>
            <w:r>
              <w:rPr>
                <w:b/>
                <w:bCs/>
                <w:color w:val="FFFFFF"/>
              </w:rPr>
              <w:t xml:space="preserve">Element</w:t>
            </w:r>
          </w:p>
        </w:tc>
        <w:tc>
          <w:tcPr>
            <w:tcW w:type="dxa" w:w="7317"/>
            <w:shd w:fill="10538F" w:color="auto" w:val="clear"/>
            <w:tcMar>
              <w:top w:type="dxa" w:w="80"/>
              <w:left w:type="dxa" w:w="120"/>
              <w:bottom w:type="dxa" w:w="80"/>
              <w:right w:type="dxa" w:w="120"/>
            </w:tcMar>
          </w:tcPr>
          <w:p>
            <w:pPr>
              <w:pStyle w:val="TableText"/>
              <w:keepNext/>
            </w:pPr>
            <w:r>
              <w:rPr>
                <w:b/>
                <w:bCs/>
                <w:color w:val="FFFFFF"/>
              </w:rPr>
              <w:t xml:space="preserve">Content</w:t>
            </w:r>
          </w:p>
        </w:tc>
      </w:tr>
      <w:tr>
        <w:trPr>
          <w:cantSplit/>
        </w:trPr>
        <w:tc>
          <w:tcPr>
            <w:tcW w:type="dxa" w:w="2475"/>
            <w:tcMar>
              <w:top w:type="dxa" w:w="80"/>
              <w:left w:type="dxa" w:w="120"/>
              <w:bottom w:type="dxa" w:w="80"/>
              <w:right w:type="dxa" w:w="120"/>
            </w:tcMar>
          </w:tcPr>
          <w:p>
            <w:pPr>
              <w:pStyle w:val="TableText"/>
              <w:keepNext/>
            </w:pPr>
            <w:r>
              <w:t xml:space="preserve">Page title</w:t>
            </w:r>
          </w:p>
        </w:tc>
        <w:tc>
          <w:tcPr>
            <w:tcW w:type="dxa" w:w="7317"/>
            <w:tcMar>
              <w:top w:type="dxa" w:w="80"/>
              <w:left w:type="dxa" w:w="120"/>
              <w:bottom w:type="dxa" w:w="80"/>
              <w:right w:type="dxa" w:w="120"/>
            </w:tcMar>
          </w:tcPr>
          <w:p>
            <w:pPr>
              <w:pStyle w:val="TableText"/>
              <w:keepNext/>
            </w:pPr>
            <w:r>
              <w:t xml:space="preserve">SugarAI for Field Service Management in the UAE | HLB HAMT</w:t>
            </w:r>
          </w:p>
        </w:tc>
      </w:tr>
      <w:tr>
        <w:trPr>
          <w:cantSplit/>
        </w:trPr>
        <w:tc>
          <w:tcPr>
            <w:tcW w:type="dxa" w:w="2475"/>
            <w:tcMar>
              <w:top w:type="dxa" w:w="80"/>
              <w:left w:type="dxa" w:w="120"/>
              <w:bottom w:type="dxa" w:w="80"/>
              <w:right w:type="dxa" w:w="120"/>
            </w:tcMar>
          </w:tcPr>
          <w:p>
            <w:pPr>
              <w:pStyle w:val="TableText"/>
              <w:keepNext/>
            </w:pPr>
            <w:r>
              <w:t xml:space="preserve">Meta description</w:t>
            </w:r>
          </w:p>
        </w:tc>
        <w:tc>
          <w:tcPr>
            <w:tcW w:type="dxa" w:w="7317"/>
            <w:tcMar>
              <w:top w:type="dxa" w:w="80"/>
              <w:left w:type="dxa" w:w="120"/>
              <w:bottom w:type="dxa" w:w="80"/>
              <w:right w:type="dxa" w:w="120"/>
            </w:tcMar>
          </w:tcPr>
          <w:p>
            <w:pPr>
              <w:pStyle w:val="TableText"/>
              <w:keepNext/>
            </w:pPr>
            <w:r>
              <w:t xml:space="preserve">SugarAI for Field Service Management connects requests, scheduling, work orders and asset history in one CRM. Implemented by HLB HAMT across the UAE and GCC.</w:t>
            </w:r>
          </w:p>
        </w:tc>
      </w:tr>
      <w:tr>
        <w:trPr>
          <w:cantSplit/>
        </w:trPr>
        <w:tc>
          <w:tcPr>
            <w:tcW w:type="dxa" w:w="2475"/>
            <w:tcMar>
              <w:top w:type="dxa" w:w="80"/>
              <w:left w:type="dxa" w:w="120"/>
              <w:bottom w:type="dxa" w:w="80"/>
              <w:right w:type="dxa" w:w="120"/>
            </w:tcMar>
          </w:tcPr>
          <w:p>
            <w:pPr>
              <w:pStyle w:val="TableText"/>
              <w:keepNext/>
            </w:pPr>
            <w:r>
              <w:t xml:space="preserve">Primary keyword</w:t>
            </w:r>
          </w:p>
        </w:tc>
        <w:tc>
          <w:tcPr>
            <w:tcW w:type="dxa" w:w="7317"/>
            <w:tcMar>
              <w:top w:type="dxa" w:w="80"/>
              <w:left w:type="dxa" w:w="120"/>
              <w:bottom w:type="dxa" w:w="80"/>
              <w:right w:type="dxa" w:w="120"/>
            </w:tcMar>
          </w:tcPr>
          <w:p>
            <w:pPr>
              <w:pStyle w:val="TableText"/>
              <w:keepNext/>
            </w:pPr>
            <w:r>
              <w:t xml:space="preserve">SugarAI for Field Service Management</w:t>
            </w:r>
          </w:p>
        </w:tc>
      </w:tr>
      <w:tr>
        <w:trPr>
          <w:cantSplit/>
        </w:trPr>
        <w:tc>
          <w:tcPr>
            <w:tcW w:type="dxa" w:w="2475"/>
            <w:tcMar>
              <w:top w:type="dxa" w:w="80"/>
              <w:left w:type="dxa" w:w="120"/>
              <w:bottom w:type="dxa" w:w="80"/>
              <w:right w:type="dxa" w:w="120"/>
            </w:tcMar>
          </w:tcPr>
          <w:p>
            <w:pPr>
              <w:pStyle w:val="TableText"/>
              <w:keepNext/>
            </w:pPr>
            <w:r>
              <w:t xml:space="preserve">Secondary and branded keywords</w:t>
            </w:r>
          </w:p>
        </w:tc>
        <w:tc>
          <w:tcPr>
            <w:tcW w:type="dxa" w:w="7317"/>
            <w:tcMar>
              <w:top w:type="dxa" w:w="80"/>
              <w:left w:type="dxa" w:w="120"/>
              <w:bottom w:type="dxa" w:w="80"/>
              <w:right w:type="dxa" w:w="120"/>
            </w:tcMar>
          </w:tcPr>
          <w:p>
            <w:pPr>
              <w:pStyle w:val="TableText"/>
              <w:keepNext/>
            </w:pPr>
            <w:r>
              <w:t xml:space="preserve">field service CRM software, field service automation, field service management in the UAE, technician scheduling software, work order management software, mobile field service management, field service asset management, SugarAI field service CRM, SugarAI CRM for field service, SugarCRM field service management</w:t>
            </w:r>
          </w:p>
        </w:tc>
      </w:tr>
      <w:tr>
        <w:trPr>
          <w:cantSplit/>
        </w:trPr>
        <w:tc>
          <w:tcPr>
            <w:tcW w:type="dxa" w:w="2475"/>
            <w:tcMar>
              <w:top w:type="dxa" w:w="80"/>
              <w:left w:type="dxa" w:w="120"/>
              <w:bottom w:type="dxa" w:w="80"/>
              <w:right w:type="dxa" w:w="120"/>
            </w:tcMar>
          </w:tcPr>
          <w:p>
            <w:pPr>
              <w:pStyle w:val="TableText"/>
              <w:keepNext/>
            </w:pPr>
            <w:r>
              <w:t xml:space="preserve">Sticky nav links</w:t>
            </w:r>
          </w:p>
        </w:tc>
        <w:tc>
          <w:tcPr>
            <w:tcW w:type="dxa" w:w="7317"/>
            <w:tcMar>
              <w:top w:type="dxa" w:w="80"/>
              <w:left w:type="dxa" w:w="120"/>
              <w:bottom w:type="dxa" w:w="80"/>
              <w:right w:type="dxa" w:w="120"/>
            </w:tcMar>
          </w:tcPr>
          <w:p>
            <w:pPr>
              <w:pStyle w:val="TableText"/>
              <w:keepNext/>
            </w:pPr>
            <w:r>
              <w:t xml:space="preserve">Platform · Benefits · What we do · Who we serve · UAE &amp; GCC · Process · FAQ · Request a demo (button)</w:t>
            </w:r>
          </w:p>
        </w:tc>
      </w:tr>
      <w:tr>
        <w:trPr>
          <w:cantSplit/>
        </w:trPr>
        <w:tc>
          <w:tcPr>
            <w:tcW w:type="dxa" w:w="2475"/>
            <w:tcMar>
              <w:top w:type="dxa" w:w="80"/>
              <w:left w:type="dxa" w:w="120"/>
              <w:bottom w:type="dxa" w:w="80"/>
              <w:right w:type="dxa" w:w="120"/>
            </w:tcMar>
          </w:tcPr>
          <w:p>
            <w:pPr>
              <w:pStyle w:val="TableText"/>
              <w:keepNext/>
            </w:pPr>
            <w:r>
              <w:t xml:space="preserve">Breadcrumb</w:t>
            </w:r>
          </w:p>
        </w:tc>
        <w:tc>
          <w:tcPr>
            <w:tcW w:type="dxa" w:w="7317"/>
            <w:tcMar>
              <w:top w:type="dxa" w:w="80"/>
              <w:left w:type="dxa" w:w="120"/>
              <w:bottom w:type="dxa" w:w="80"/>
              <w:right w:type="dxa" w:w="120"/>
            </w:tcMar>
          </w:tcPr>
          <w:p>
            <w:pPr>
              <w:pStyle w:val="TableText"/>
              <w:keepNext/>
            </w:pPr>
            <w:r>
              <w:t xml:space="preserve">Home › Technology Consulting Services › CRM Solutions (SugarAI) › Field Service Management ("CRM Solutions (SugarAI)" links to https://sugarai.com/)</w:t>
            </w:r>
          </w:p>
        </w:tc>
      </w:tr>
      <w:tr>
        <w:trPr>
          <w:cantSplit/>
        </w:trPr>
        <w:tc>
          <w:tcPr>
            <w:tcW w:type="dxa" w:w="2475"/>
            <w:tcMar>
              <w:top w:type="dxa" w:w="80"/>
              <w:left w:type="dxa" w:w="120"/>
              <w:bottom w:type="dxa" w:w="80"/>
              <w:right w:type="dxa" w:w="120"/>
            </w:tcMar>
          </w:tcPr>
          <w:p>
            <w:pPr>
              <w:pStyle w:val="TableText"/>
              <w:keepNext/>
            </w:pPr>
            <w:r>
              <w:t xml:space="preserve">In-copy links</w:t>
            </w:r>
          </w:p>
        </w:tc>
        <w:tc>
          <w:tcPr>
            <w:tcW w:type="dxa" w:w="7317"/>
            <w:tcMar>
              <w:top w:type="dxa" w:w="80"/>
              <w:left w:type="dxa" w:w="120"/>
              <w:bottom w:type="dxa" w:w="80"/>
              <w:right w:type="dxa" w:w="120"/>
            </w:tcMar>
          </w:tcPr>
          <w:p>
            <w:pPr>
              <w:pStyle w:val="TableText"/>
              <w:keepNext/>
            </w:pPr>
            <w:r>
              <w:t xml:space="preserve">SugarAI CRM solutions (Platform intro) → https://sugarai.com/</w:t>
            </w:r>
          </w:p>
          <w:p>
            <w:pPr>
              <w:pStyle w:val="TableText"/>
              <w:keepNext/>
            </w:pPr>
            <w:r>
              <w:t xml:space="preserve">SugarAI for manufacturers (Who we serve, tile 3) → /sugarai-crm/industries/manufacturing/</w:t>
            </w:r>
          </w:p>
          <w:p>
            <w:pPr>
              <w:pStyle w:val="TableText"/>
              <w:keepNext/>
            </w:pPr>
            <w:r>
              <w:t xml:space="preserve">technology consulting services (Why HLB HAMT, card 3) → /services/technology-consulting-services-dubai-uae/</w:t>
            </w:r>
          </w:p>
        </w:tc>
      </w:tr>
      <w:tr>
        <w:trPr>
          <w:cantSplit/>
        </w:trPr>
        <w:tc>
          <w:tcPr>
            <w:tcW w:type="dxa" w:w="2475"/>
            <w:tcMar>
              <w:top w:type="dxa" w:w="80"/>
              <w:left w:type="dxa" w:w="120"/>
              <w:bottom w:type="dxa" w:w="80"/>
              <w:right w:type="dxa" w:w="120"/>
            </w:tcMar>
          </w:tcPr>
          <w:p>
            <w:pPr>
              <w:pStyle w:val="TableText"/>
              <w:keepNext w:val="false"/>
            </w:pPr>
            <w:r>
              <w:t xml:space="preserve">Footer links</w:t>
            </w:r>
          </w:p>
        </w:tc>
        <w:tc>
          <w:tcPr>
            <w:tcW w:type="dxa" w:w="7317"/>
            <w:tcMar>
              <w:top w:type="dxa" w:w="80"/>
              <w:left w:type="dxa" w:w="120"/>
              <w:bottom w:type="dxa" w:w="80"/>
              <w:right w:type="dxa" w:w="120"/>
            </w:tcMar>
          </w:tcPr>
          <w:p>
            <w:pPr>
              <w:pStyle w:val="TableText"/>
              <w:keepNext w:val="false"/>
            </w:pPr>
            <w:r>
              <w:t xml:space="preserve">CRM Solutions (SugarAI) → https://sugarai.com/</w:t>
            </w:r>
          </w:p>
          <w:p>
            <w:pPr>
              <w:pStyle w:val="TableText"/>
              <w:keepNext w:val="false"/>
            </w:pPr>
            <w:r>
              <w:t xml:space="preserve">Manufacturing → /sugarai-crm/industries/manufacturing/</w:t>
            </w:r>
          </w:p>
          <w:p>
            <w:pPr>
              <w:pStyle w:val="TableText"/>
              <w:keepNext w:val="false"/>
            </w:pPr>
            <w:r>
              <w:t xml:space="preserve">Real Estate → /sugarai-crm/industries/real-estate/</w:t>
            </w:r>
          </w:p>
          <w:p>
            <w:pPr>
              <w:pStyle w:val="TableText"/>
              <w:keepNext w:val="false"/>
            </w:pPr>
            <w:r>
              <w:t xml:space="preserve">Distributors → /sugarai-crm/industries/distributors/</w:t>
            </w:r>
          </w:p>
          <w:p>
            <w:pPr>
              <w:pStyle w:val="TableText"/>
              <w:keepNext w:val="false"/>
            </w:pPr>
            <w:r>
              <w:t xml:space="preserve">All industries → /sugarai-crm/industries/</w:t>
            </w:r>
          </w:p>
        </w:tc>
      </w:tr>
    </w:tbl>
    <w:p>
      <w:r>
        <w:br w:type="page"/>
      </w:r>
    </w:p>
    <w:p>
      <w:pPr>
        <w:pStyle w:val="Eyebrow"/>
      </w:pPr>
      <w:r>
        <w:t xml:space="preserve">Industries · Field Service Management</w:t>
      </w:r>
    </w:p>
    <w:p>
      <w:pPr>
        <w:pStyle w:val="Heading1"/>
        <w:keepNext/>
        <w:keepLines/>
      </w:pPr>
      <w:r>
        <w:t xml:space="preserve">SugarAI for Field Service Management</w:t>
      </w:r>
    </w:p>
    <w:p>
      <w:pPr>
        <w:pStyle w:val="Lede"/>
      </w:pPr>
      <w:r>
        <w:t xml:space="preserve">SugarAI for Field Service Management gives your service desk, dispatchers and technicians one record of customer, site, equipment and contract, so jobs reach the right person and close with evidence attached. Whether it runs in the cloud or on your own servers, HLB HAMT configures it for service businesses throughout the UAE and GCC.</w:t>
      </w:r>
    </w:p>
    <w:p>
      <w:pPr>
        <w:pStyle w:val="ButtonNote"/>
      </w:pPr>
      <w:r>
        <w:rPr>
          <w:b/>
          <w:bCs/>
        </w:rPr>
        <w:t xml:space="preserve">Buttons: </w:t>
      </w:r>
      <w:r>
        <w:t xml:space="preserve">Request a demo · Talk to our field service team</w:t>
      </w:r>
    </w:p>
    <w:p>
      <w:pPr>
        <w:pStyle w:val="Heading3"/>
        <w:keepNext/>
        <w:keepLines/>
      </w:pPr>
      <w:r>
        <w:t xml:space="preserve">Designed around the job, the technician and the asset</w:t>
      </w:r>
    </w:p>
    <w:p>
      <w:pPr>
        <w:pStyle w:val="Body"/>
        <w:keepNext/>
      </w:pPr>
      <w:r>
        <w:t xml:space="preserve">Set up for annual maintenance contracts (AMCs), multi-site customers and mixed in-house and subcontracted crews.</w:t>
      </w:r>
    </w:p>
    <w:tbl>
      <w:tblPr>
        <w:tblW w:type="dxa" w:w="9792"/>
        <w:tblBorders>
          <w:top w:val="single" w:color="BFCFDC" w:sz="4"/>
          <w:left w:val="single" w:color="BFCFDC" w:sz="4"/>
          <w:bottom w:val="single" w:color="BFCFDC" w:sz="4"/>
          <w:right w:val="single" w:color="BFCFDC" w:sz="4"/>
          <w:insideH w:val="single" w:color="BFCFDC" w:sz="4"/>
          <w:insideV w:val="single" w:color="BFCFDC" w:sz="4"/>
        </w:tblBorders>
      </w:tblPr>
      <w:tblGrid>
        <w:gridCol w:w="3300"/>
        <w:gridCol w:w="6492"/>
      </w:tblGrid>
      <w:tr>
        <w:trPr>
          <w:cantSplit/>
          <w:tblHeader/>
        </w:trPr>
        <w:tc>
          <w:tcPr>
            <w:tcW w:type="dxa" w:w="3300"/>
            <w:shd w:fill="10538F" w:color="auto" w:val="clear"/>
            <w:tcMar>
              <w:top w:type="dxa" w:w="80"/>
              <w:left w:type="dxa" w:w="120"/>
              <w:bottom w:type="dxa" w:w="80"/>
              <w:right w:type="dxa" w:w="120"/>
            </w:tcMar>
          </w:tcPr>
          <w:p>
            <w:pPr>
              <w:pStyle w:val="TableText"/>
              <w:keepNext/>
            </w:pPr>
            <w:r>
              <w:rPr>
                <w:b/>
                <w:bCs/>
                <w:color w:val="FFFFFF"/>
              </w:rPr>
              <w:t xml:space="preserve">Item</w:t>
            </w:r>
          </w:p>
        </w:tc>
        <w:tc>
          <w:tcPr>
            <w:tcW w:type="dxa" w:w="6492"/>
            <w:shd w:fill="10538F" w:color="auto" w:val="clear"/>
            <w:tcMar>
              <w:top w:type="dxa" w:w="80"/>
              <w:left w:type="dxa" w:w="120"/>
              <w:bottom w:type="dxa" w:w="80"/>
              <w:right w:type="dxa" w:w="120"/>
            </w:tcMar>
          </w:tcPr>
          <w:p>
            <w:pPr>
              <w:pStyle w:val="TableText"/>
              <w:keepNext/>
            </w:pPr>
            <w:r>
              <w:rPr>
                <w:b/>
                <w:bCs/>
                <w:color w:val="FFFFFF"/>
              </w:rPr>
              <w:t xml:space="preserve">Copy</w:t>
            </w:r>
          </w:p>
        </w:tc>
      </w:tr>
      <w:tr>
        <w:trPr>
          <w:cantSplit/>
        </w:trPr>
        <w:tc>
          <w:tcPr>
            <w:tcW w:type="dxa" w:w="3300"/>
            <w:tcMar>
              <w:top w:type="dxa" w:w="80"/>
              <w:left w:type="dxa" w:w="120"/>
              <w:bottom w:type="dxa" w:w="80"/>
              <w:right w:type="dxa" w:w="120"/>
            </w:tcMar>
          </w:tcPr>
          <w:p>
            <w:pPr>
              <w:pStyle w:val="TableText"/>
              <w:keepNext/>
            </w:pPr>
            <w:r>
              <w:rPr>
                <w:b/>
                <w:bCs/>
              </w:rPr>
              <w:t xml:space="preserve">Every job tied to its customer and asset</w:t>
            </w:r>
          </w:p>
        </w:tc>
        <w:tc>
          <w:tcPr>
            <w:tcW w:type="dxa" w:w="6492"/>
            <w:tcMar>
              <w:top w:type="dxa" w:w="80"/>
              <w:left w:type="dxa" w:w="120"/>
              <w:bottom w:type="dxa" w:w="80"/>
              <w:right w:type="dxa" w:w="120"/>
            </w:tcMar>
          </w:tcPr>
          <w:p>
            <w:pPr>
              <w:pStyle w:val="TableText"/>
              <w:keepNext/>
            </w:pPr>
            <w:r>
              <w:t xml:space="preserve">The request, work order, asset history and contract share one record.</w:t>
            </w:r>
          </w:p>
        </w:tc>
      </w:tr>
      <w:tr>
        <w:trPr>
          <w:cantSplit/>
        </w:trPr>
        <w:tc>
          <w:tcPr>
            <w:tcW w:type="dxa" w:w="3300"/>
            <w:tcMar>
              <w:top w:type="dxa" w:w="80"/>
              <w:left w:type="dxa" w:w="120"/>
              <w:bottom w:type="dxa" w:w="80"/>
              <w:right w:type="dxa" w:w="120"/>
            </w:tcMar>
          </w:tcPr>
          <w:p>
            <w:pPr>
              <w:pStyle w:val="TableText"/>
              <w:keepNext/>
            </w:pPr>
            <w:r>
              <w:rPr>
                <w:b/>
                <w:bCs/>
              </w:rPr>
              <w:t xml:space="preserve">Your crews and your subcontractors</w:t>
            </w:r>
          </w:p>
        </w:tc>
        <w:tc>
          <w:tcPr>
            <w:tcW w:type="dxa" w:w="6492"/>
            <w:tcMar>
              <w:top w:type="dxa" w:w="80"/>
              <w:left w:type="dxa" w:w="120"/>
              <w:bottom w:type="dxa" w:w="80"/>
              <w:right w:type="dxa" w:w="120"/>
            </w:tcMar>
          </w:tcPr>
          <w:p>
            <w:pPr>
              <w:pStyle w:val="TableText"/>
              <w:keepNext/>
            </w:pPr>
            <w:r>
              <w:t xml:space="preserve">In-house and subcontracted crews are scheduled together, and the customer relationship stays yours.</w:t>
            </w:r>
          </w:p>
        </w:tc>
      </w:tr>
      <w:tr>
        <w:trPr>
          <w:cantSplit/>
        </w:trPr>
        <w:tc>
          <w:tcPr>
            <w:tcW w:type="dxa" w:w="3300"/>
            <w:tcMar>
              <w:top w:type="dxa" w:w="80"/>
              <w:left w:type="dxa" w:w="120"/>
              <w:bottom w:type="dxa" w:w="80"/>
              <w:right w:type="dxa" w:w="120"/>
            </w:tcMar>
          </w:tcPr>
          <w:p>
            <w:pPr>
              <w:pStyle w:val="TableText"/>
              <w:keepNext w:val="false"/>
            </w:pPr>
            <w:r>
              <w:rPr>
                <w:b/>
                <w:bCs/>
              </w:rPr>
              <w:t xml:space="preserve">Planned maintenance that stays on the calendar</w:t>
            </w:r>
          </w:p>
        </w:tc>
        <w:tc>
          <w:tcPr>
            <w:tcW w:type="dxa" w:w="6492"/>
            <w:tcMar>
              <w:top w:type="dxa" w:w="80"/>
              <w:left w:type="dxa" w:w="120"/>
              <w:bottom w:type="dxa" w:w="80"/>
              <w:right w:type="dxa" w:w="120"/>
            </w:tcMar>
          </w:tcPr>
          <w:p>
            <w:pPr>
              <w:pStyle w:val="TableText"/>
              <w:keepNext w:val="false"/>
            </w:pPr>
            <w:r>
              <w:t xml:space="preserve">Preventive visits are generated straight from each contract's schedule.</w:t>
            </w:r>
          </w:p>
        </w:tc>
      </w:tr>
    </w:tbl>
    <w:p>
      <w:pPr>
        <w:pStyle w:val="Eyebrow"/>
      </w:pPr>
      <w:r>
        <w:t xml:space="preserve">Why SugarAI</w:t>
      </w:r>
    </w:p>
    <w:p>
      <w:pPr>
        <w:pStyle w:val="Heading2"/>
        <w:keepNext/>
        <w:keepLines/>
      </w:pPr>
      <w:r>
        <w:t xml:space="preserve">Why SugarAI earns its place in field operations</w:t>
      </w:r>
    </w:p>
    <w:p>
      <w:pPr>
        <w:pStyle w:val="Lede"/>
        <w:keepNext/>
      </w:pPr>
      <w:r>
        <w:t xml:space="preserve">Tailored by HLB HAMT, SugarAI works as field service CRM software, giving sales, service and field teams one shared record with AI built in. SugarCRM publishes the figures below for Sugar Sell, its sales module. They span that module's whole customer base, not field service specifically.</w:t>
      </w:r>
    </w:p>
    <w:tbl>
      <w:tblPr>
        <w:tblW w:type="dxa" w:w="9792"/>
        <w:tblBorders>
          <w:top w:val="single" w:color="BFCFDC" w:sz="4"/>
          <w:left w:val="single" w:color="BFCFDC" w:sz="4"/>
          <w:bottom w:val="single" w:color="BFCFDC" w:sz="4"/>
          <w:right w:val="single" w:color="BFCFDC" w:sz="4"/>
          <w:insideH w:val="single" w:color="BFCFDC" w:sz="4"/>
          <w:insideV w:val="single" w:color="BFCFDC" w:sz="4"/>
        </w:tblBorders>
      </w:tblPr>
      <w:tblGrid>
        <w:gridCol w:w="1700"/>
        <w:gridCol w:w="2700"/>
        <w:gridCol w:w="5392"/>
      </w:tblGrid>
      <w:tr>
        <w:trPr>
          <w:cantSplit/>
          <w:tblHeader/>
        </w:trPr>
        <w:tc>
          <w:tcPr>
            <w:tcW w:type="dxa" w:w="1700"/>
            <w:shd w:fill="10538F" w:color="auto" w:val="clear"/>
            <w:tcMar>
              <w:top w:type="dxa" w:w="80"/>
              <w:left w:type="dxa" w:w="120"/>
              <w:bottom w:type="dxa" w:w="80"/>
              <w:right w:type="dxa" w:w="120"/>
            </w:tcMar>
          </w:tcPr>
          <w:p>
            <w:pPr>
              <w:pStyle w:val="TableText"/>
              <w:keepNext/>
            </w:pPr>
            <w:r>
              <w:rPr>
                <w:b/>
                <w:bCs/>
                <w:color w:val="FFFFFF"/>
              </w:rPr>
              <w:t xml:space="preserve">Figure</w:t>
            </w:r>
          </w:p>
        </w:tc>
        <w:tc>
          <w:tcPr>
            <w:tcW w:type="dxa" w:w="2700"/>
            <w:shd w:fill="10538F" w:color="auto" w:val="clear"/>
            <w:tcMar>
              <w:top w:type="dxa" w:w="80"/>
              <w:left w:type="dxa" w:w="120"/>
              <w:bottom w:type="dxa" w:w="80"/>
              <w:right w:type="dxa" w:w="120"/>
            </w:tcMar>
          </w:tcPr>
          <w:p>
            <w:pPr>
              <w:pStyle w:val="TableText"/>
              <w:keepNext/>
            </w:pPr>
            <w:r>
              <w:rPr>
                <w:b/>
                <w:bCs/>
                <w:color w:val="FFFFFF"/>
              </w:rPr>
              <w:t xml:space="preserve">Label</w:t>
            </w:r>
          </w:p>
        </w:tc>
        <w:tc>
          <w:tcPr>
            <w:tcW w:type="dxa" w:w="5392"/>
            <w:shd w:fill="10538F" w:color="auto" w:val="clear"/>
            <w:tcMar>
              <w:top w:type="dxa" w:w="80"/>
              <w:left w:type="dxa" w:w="120"/>
              <w:bottom w:type="dxa" w:w="80"/>
              <w:right w:type="dxa" w:w="120"/>
            </w:tcMar>
          </w:tcPr>
          <w:p>
            <w:pPr>
              <w:pStyle w:val="TableText"/>
              <w:keepNext/>
            </w:pPr>
            <w:r>
              <w:rPr>
                <w:b/>
                <w:bCs/>
                <w:color w:val="FFFFFF"/>
              </w:rPr>
              <w:t xml:space="preserve">Description</w:t>
            </w:r>
          </w:p>
        </w:tc>
      </w:tr>
      <w:tr>
        <w:trPr>
          <w:cantSplit/>
        </w:trPr>
        <w:tc>
          <w:tcPr>
            <w:tcW w:type="dxa" w:w="1700"/>
            <w:tcMar>
              <w:top w:type="dxa" w:w="80"/>
              <w:left w:type="dxa" w:w="120"/>
              <w:bottom w:type="dxa" w:w="80"/>
              <w:right w:type="dxa" w:w="120"/>
            </w:tcMar>
          </w:tcPr>
          <w:p>
            <w:pPr>
              <w:pStyle w:val="TableText"/>
              <w:keepNext/>
            </w:pPr>
            <w:r>
              <w:rPr>
                <w:b/>
                <w:bCs/>
                <w:color w:val="10538F"/>
                <w:sz w:val="24"/>
                <w:szCs w:val="24"/>
              </w:rPr>
              <w:t xml:space="preserve">+23%</w:t>
            </w:r>
          </w:p>
        </w:tc>
        <w:tc>
          <w:tcPr>
            <w:tcW w:type="dxa" w:w="2700"/>
            <w:tcMar>
              <w:top w:type="dxa" w:w="80"/>
              <w:left w:type="dxa" w:w="120"/>
              <w:bottom w:type="dxa" w:w="80"/>
              <w:right w:type="dxa" w:w="120"/>
            </w:tcMar>
          </w:tcPr>
          <w:p>
            <w:pPr>
              <w:pStyle w:val="TableText"/>
              <w:keepNext/>
            </w:pPr>
            <w:r>
              <w:rPr>
                <w:b/>
                <w:bCs/>
              </w:rPr>
              <w:t xml:space="preserve">Increased revenue</w:t>
            </w:r>
          </w:p>
        </w:tc>
        <w:tc>
          <w:tcPr>
            <w:tcW w:type="dxa" w:w="5392"/>
            <w:tcMar>
              <w:top w:type="dxa" w:w="80"/>
              <w:left w:type="dxa" w:w="120"/>
              <w:bottom w:type="dxa" w:w="80"/>
              <w:right w:type="dxa" w:w="120"/>
            </w:tcMar>
          </w:tcPr>
          <w:p>
            <w:pPr>
              <w:pStyle w:val="TableText"/>
              <w:keepNext/>
            </w:pPr>
            <w:r>
              <w:t xml:space="preserve">Sugar Sell customers grew revenue by this margin. Configured for field service, Sugar Sell turns repairs spotted on site into quotes.</w:t>
            </w:r>
          </w:p>
        </w:tc>
      </w:tr>
      <w:tr>
        <w:trPr>
          <w:cantSplit/>
        </w:trPr>
        <w:tc>
          <w:tcPr>
            <w:tcW w:type="dxa" w:w="1700"/>
            <w:tcMar>
              <w:top w:type="dxa" w:w="80"/>
              <w:left w:type="dxa" w:w="120"/>
              <w:bottom w:type="dxa" w:w="80"/>
              <w:right w:type="dxa" w:w="120"/>
            </w:tcMar>
          </w:tcPr>
          <w:p>
            <w:pPr>
              <w:pStyle w:val="TableText"/>
              <w:keepNext/>
            </w:pPr>
            <w:r>
              <w:rPr>
                <w:b/>
                <w:bCs/>
                <w:color w:val="10538F"/>
                <w:sz w:val="24"/>
                <w:szCs w:val="24"/>
              </w:rPr>
              <w:t xml:space="preserve">+30%</w:t>
            </w:r>
          </w:p>
        </w:tc>
        <w:tc>
          <w:tcPr>
            <w:tcW w:type="dxa" w:w="2700"/>
            <w:tcMar>
              <w:top w:type="dxa" w:w="80"/>
              <w:left w:type="dxa" w:w="120"/>
              <w:bottom w:type="dxa" w:w="80"/>
              <w:right w:type="dxa" w:w="120"/>
            </w:tcMar>
          </w:tcPr>
          <w:p>
            <w:pPr>
              <w:pStyle w:val="TableText"/>
              <w:keepNext/>
            </w:pPr>
            <w:r>
              <w:rPr>
                <w:b/>
                <w:bCs/>
              </w:rPr>
              <w:t xml:space="preserve">Improved win rate</w:t>
            </w:r>
          </w:p>
        </w:tc>
        <w:tc>
          <w:tcPr>
            <w:tcW w:type="dxa" w:w="5392"/>
            <w:tcMar>
              <w:top w:type="dxa" w:w="80"/>
              <w:left w:type="dxa" w:w="120"/>
              <w:bottom w:type="dxa" w:w="80"/>
              <w:right w:type="dxa" w:w="120"/>
            </w:tcMar>
          </w:tcPr>
          <w:p>
            <w:pPr>
              <w:pStyle w:val="TableText"/>
              <w:keepNext/>
            </w:pPr>
            <w:r>
              <w:t xml:space="preserve">Win rates rose across that customer group. AMC and warranty proposals follow the same quote-to-close stages.</w:t>
            </w:r>
          </w:p>
        </w:tc>
      </w:tr>
      <w:tr>
        <w:trPr>
          <w:cantSplit/>
        </w:trPr>
        <w:tc>
          <w:tcPr>
            <w:tcW w:type="dxa" w:w="1700"/>
            <w:tcMar>
              <w:top w:type="dxa" w:w="80"/>
              <w:left w:type="dxa" w:w="120"/>
              <w:bottom w:type="dxa" w:w="80"/>
              <w:right w:type="dxa" w:w="120"/>
            </w:tcMar>
          </w:tcPr>
          <w:p>
            <w:pPr>
              <w:pStyle w:val="TableText"/>
              <w:keepNext w:val="false"/>
            </w:pPr>
            <w:r>
              <w:rPr>
                <w:b/>
                <w:bCs/>
                <w:color w:val="10538F"/>
                <w:sz w:val="24"/>
                <w:szCs w:val="24"/>
              </w:rPr>
              <w:t xml:space="preserve">3×</w:t>
            </w:r>
          </w:p>
        </w:tc>
        <w:tc>
          <w:tcPr>
            <w:tcW w:type="dxa" w:w="2700"/>
            <w:tcMar>
              <w:top w:type="dxa" w:w="80"/>
              <w:left w:type="dxa" w:w="120"/>
              <w:bottom w:type="dxa" w:w="80"/>
              <w:right w:type="dxa" w:w="120"/>
            </w:tcMar>
          </w:tcPr>
          <w:p>
            <w:pPr>
              <w:pStyle w:val="TableText"/>
              <w:keepNext w:val="false"/>
            </w:pPr>
            <w:r>
              <w:rPr>
                <w:b/>
                <w:bCs/>
              </w:rPr>
              <w:t xml:space="preserve">Pipeline volume</w:t>
            </w:r>
          </w:p>
        </w:tc>
        <w:tc>
          <w:tcPr>
            <w:tcW w:type="dxa" w:w="5392"/>
            <w:tcMar>
              <w:top w:type="dxa" w:w="80"/>
              <w:left w:type="dxa" w:w="120"/>
              <w:bottom w:type="dxa" w:w="80"/>
              <w:right w:type="dxa" w:w="120"/>
            </w:tcMar>
          </w:tcPr>
          <w:p>
            <w:pPr>
              <w:pStyle w:val="TableText"/>
              <w:keepNext w:val="false"/>
            </w:pPr>
            <w:r>
              <w:t xml:space="preserve">Pipelines tripled in volume for those customers. Contract renewals join the pipeline well before they fall due, alongside new business.</w:t>
            </w:r>
          </w:p>
        </w:tc>
      </w:tr>
    </w:tbl>
    <w:p>
      <w:pPr>
        <w:pStyle w:val="Eyebrow"/>
        <w:pageBreakBefore/>
      </w:pPr>
      <w:r>
        <w:t xml:space="preserve">The platform</w:t>
      </w:r>
    </w:p>
    <w:p>
      <w:pPr>
        <w:pStyle w:val="Heading2"/>
        <w:keepNext/>
        <w:keepLines/>
      </w:pPr>
      <w:r>
        <w:t xml:space="preserve">Service desk, sales and field teams on one customer record</w:t>
      </w:r>
    </w:p>
    <w:p>
      <w:pPr>
        <w:pStyle w:val="Lede"/>
        <w:keepNext/>
      </w:pPr>
      <w:r>
        <w:t xml:space="preserve">HLB HAMT delivers SugarAI for Field Service Management by configuring core SugarAI, with no bolt-on product. The Time-Aware Customer Data Platform beneath all </w:t>
      </w:r>
      <w:hyperlink w:history="1" r:id="rIdujfv0sukcb2r4hcvwzf8w">
        <w:r>
          <w:rPr>
            <w:rStyle w:val="Hyperlink"/>
          </w:rPr>
          <w:t xml:space="preserve">SugarAI CRM solutions</w:t>
        </w:r>
      </w:hyperlink>
      <w:r>
        <w:t xml:space="preserve"> keeps every site and asset history in sequence.</w:t>
      </w:r>
    </w:p>
    <w:p>
      <w:pPr>
        <w:pStyle w:val="Tag"/>
        <w:keepNext/>
      </w:pPr>
      <w:r>
        <w:t xml:space="preserve">Sugar Serve</w:t>
      </w:r>
    </w:p>
    <w:p>
      <w:pPr>
        <w:pStyle w:val="Heading4"/>
        <w:keepNext/>
        <w:keepLines/>
      </w:pPr>
      <w:r>
        <w:t xml:space="preserve">Cases, work orders and SLA timers</w:t>
      </w:r>
    </w:p>
    <w:p>
      <w:pPr>
        <w:pStyle w:val="Body"/>
      </w:pPr>
      <w:r>
        <w:t xml:space="preserve">Phone, email, portal and messaging requests become cases, then work orders timed against contract SLAs.</w:t>
      </w:r>
    </w:p>
    <w:p>
      <w:pPr>
        <w:pStyle w:val="Tag"/>
        <w:keepNext/>
      </w:pPr>
      <w:r>
        <w:t xml:space="preserve">Sugar Sell</w:t>
      </w:r>
    </w:p>
    <w:p>
      <w:pPr>
        <w:pStyle w:val="Heading4"/>
        <w:keepNext/>
        <w:keepLines/>
      </w:pPr>
      <w:r>
        <w:t xml:space="preserve">Service contracts, quotes and upsell</w:t>
      </w:r>
    </w:p>
    <w:p>
      <w:pPr>
        <w:pStyle w:val="Body"/>
      </w:pPr>
      <w:r>
        <w:t xml:space="preserve">AMC and warranty contracts, repair quotes and upsell from technician findings, in one pipeline.</w:t>
      </w:r>
    </w:p>
    <w:p>
      <w:pPr>
        <w:pStyle w:val="Tag"/>
        <w:keepNext/>
      </w:pPr>
      <w:r>
        <w:t xml:space="preserve">Sugar Market</w:t>
      </w:r>
    </w:p>
    <w:p>
      <w:pPr>
        <w:pStyle w:val="Heading4"/>
        <w:keepNext/>
        <w:keepLines/>
      </w:pPr>
      <w:r>
        <w:t xml:space="preserve">Maintenance reminders and service campaigns</w:t>
      </w:r>
    </w:p>
    <w:p>
      <w:pPr>
        <w:pStyle w:val="Body"/>
      </w:pPr>
      <w:r>
        <w:t xml:space="preserve">Reminders for visits falling due, renewal nurture, and campaigns targeted by equipment type or age.</w:t>
      </w:r>
    </w:p>
    <w:p>
      <w:pPr>
        <w:pStyle w:val="Tag"/>
        <w:keepNext/>
      </w:pPr>
      <w:r>
        <w:t xml:space="preserve">SugarAI Predict</w:t>
      </w:r>
    </w:p>
    <w:p>
      <w:pPr>
        <w:pStyle w:val="Heading4"/>
        <w:keepNext/>
        <w:keepLines/>
      </w:pPr>
      <w:r>
        <w:t xml:space="preserve">Renewal and churn signals on service accounts</w:t>
      </w:r>
    </w:p>
    <w:p>
      <w:pPr>
        <w:pStyle w:val="Body"/>
      </w:pPr>
      <w:r>
        <w:t xml:space="preserve">AI flags accounts with falling satisfaction or lapsing contracts and suggests the next step.</w:t>
      </w:r>
    </w:p>
    <w:p>
      <w:pPr>
        <w:pStyle w:val="Eyebrow"/>
      </w:pPr>
      <w:r>
        <w:t xml:space="preserve">Benefits</w:t>
      </w:r>
    </w:p>
    <w:p>
      <w:pPr>
        <w:pStyle w:val="Heading2"/>
        <w:keepNext/>
        <w:keepLines/>
      </w:pPr>
      <w:r>
        <w:t xml:space="preserve">Six field service capabilities SugarAI brings to your operation</w:t>
      </w:r>
    </w:p>
    <w:p>
      <w:pPr>
        <w:pStyle w:val="Lede"/>
      </w:pPr>
      <w:r>
        <w:t xml:space="preserve">In SugarAI for Field Service Management, these six capabilities carry each job from the first request to the customer's sign-off.</w:t>
      </w:r>
    </w:p>
    <w:p>
      <w:pPr>
        <w:pStyle w:val="Heading3"/>
        <w:keepNext/>
        <w:keepLines/>
      </w:pPr>
      <w:r>
        <w:t xml:space="preserve">Customer, site and equipment history in one view</w:t>
      </w:r>
    </w:p>
    <w:p>
      <w:pPr>
        <w:pStyle w:val="Body"/>
      </w:pPr>
      <w:r>
        <w:t xml:space="preserve">The desk, dispatcher and technician see each customer's sites, installed equipment (serial, model, warranty), contracts, past visits and open cases.</w:t>
      </w:r>
    </w:p>
    <w:p>
      <w:pPr>
        <w:pStyle w:val="Heading3"/>
        <w:keepNext/>
        <w:keepLines/>
      </w:pPr>
      <w:r>
        <w:t xml:space="preserve">Dynamic job sheets and inspection checklists</w:t>
      </w:r>
    </w:p>
    <w:p>
      <w:pPr>
        <w:pStyle w:val="Body"/>
      </w:pPr>
      <w:r>
        <w:t xml:space="preserve">Job sheets adapt to the job type and asset, from maintenance checklists to breakdown diagnosis, and capture photos, readings and signatures.</w:t>
      </w:r>
    </w:p>
    <w:p>
      <w:pPr>
        <w:pStyle w:val="Heading3"/>
        <w:keepNext/>
        <w:keepLines/>
      </w:pPr>
      <w:r>
        <w:t xml:space="preserve">Technician, crew and subcontractor management</w:t>
      </w:r>
    </w:p>
    <w:p>
      <w:pPr>
        <w:pStyle w:val="Body"/>
      </w:pPr>
      <w:r>
        <w:t xml:space="preserve">Each technician and subcontractor record holds skills, certifications, zone and availability; subcontracted jobs follow the in-house standard.</w:t>
      </w:r>
    </w:p>
    <w:p>
      <w:pPr>
        <w:pStyle w:val="Heading3"/>
        <w:keepNext/>
        <w:keepLines/>
      </w:pPr>
      <w:r>
        <w:t xml:space="preserve">Work order tracking against contract SLAs</w:t>
      </w:r>
    </w:p>
    <w:p>
      <w:pPr>
        <w:pStyle w:val="Body"/>
      </w:pPr>
      <w:r>
        <w:t xml:space="preserve">Each work order counts down to the contract's response and resolution times, and jobs at risk escalate before a breach.</w:t>
      </w:r>
    </w:p>
    <w:p>
      <w:pPr>
        <w:pStyle w:val="Heading3"/>
        <w:keepNext/>
        <w:keepLines/>
      </w:pPr>
      <w:r>
        <w:t xml:space="preserve">Rules-based assignment and approvals</w:t>
      </w:r>
    </w:p>
    <w:p>
      <w:pPr>
        <w:pStyle w:val="Body"/>
      </w:pPr>
      <w:r>
        <w:t xml:space="preserve">Rules allocate jobs by skill, zone, priority and SLA: the assignment work many teams buy technician scheduling software for. Administrators edit approval rules without code.</w:t>
      </w:r>
    </w:p>
    <w:p>
      <w:pPr>
        <w:pStyle w:val="Heading3"/>
        <w:keepNext/>
        <w:keepLines/>
      </w:pPr>
      <w:r>
        <w:t xml:space="preserve">Asset lifecycle and contract renewals</w:t>
      </w:r>
    </w:p>
    <w:p>
      <w:pPr>
        <w:pStyle w:val="Body"/>
      </w:pPr>
      <w:r>
        <w:t xml:space="preserve">Contracts drive field service asset management: preventive maintenance is scheduled from them, warranty and AMC renewals surface early, and repeat faults are traced per asset.</w:t>
      </w:r>
    </w:p>
    <w:p>
      <w:pPr>
        <w:pStyle w:val="Eyebrow"/>
      </w:pPr>
      <w:r>
        <w:t xml:space="preserve">Get started</w:t>
      </w:r>
    </w:p>
    <w:p>
      <w:pPr>
        <w:pStyle w:val="Heading2"/>
        <w:keepNext/>
        <w:keepLines/>
      </w:pPr>
      <w:r>
        <w:t xml:space="preserve">Ready to connect your service desk to the field?</w:t>
      </w:r>
    </w:p>
    <w:p>
      <w:pPr>
        <w:pStyle w:val="Body"/>
      </w:pPr>
      <w:r>
        <w:t xml:space="preserve">We'll show SugarAI working with your own job types, contracts and technicians.</w:t>
      </w:r>
    </w:p>
    <w:p>
      <w:pPr>
        <w:pStyle w:val="ButtonNote"/>
      </w:pPr>
      <w:r>
        <w:rPr>
          <w:b/>
          <w:bCs/>
        </w:rPr>
        <w:t xml:space="preserve">Button: </w:t>
      </w:r>
      <w:r>
        <w:t xml:space="preserve">See SugarAI in Action</w:t>
      </w:r>
    </w:p>
    <w:p>
      <w:pPr>
        <w:pStyle w:val="Eyebrow"/>
      </w:pPr>
      <w:r>
        <w:t xml:space="preserve">Our capabilities</w:t>
      </w:r>
    </w:p>
    <w:p>
      <w:pPr>
        <w:pStyle w:val="Heading2"/>
        <w:keepNext/>
        <w:keepLines/>
      </w:pPr>
      <w:r>
        <w:t xml:space="preserve">Field service automation, set up and supported by HLB HAMT</w:t>
      </w:r>
    </w:p>
    <w:p>
      <w:pPr>
        <w:pStyle w:val="Lede"/>
      </w:pPr>
      <w:r>
        <w:t xml:space="preserve">One HLB HAMT team takes you from design to the screens technicians use each morning.</w:t>
      </w:r>
    </w:p>
    <w:p>
      <w:pPr>
        <w:pStyle w:val="Heading4"/>
        <w:keepNext/>
        <w:keepLines/>
      </w:pPr>
      <w:r>
        <w:rPr>
          <w:color w:val="0E9488"/>
        </w:rPr>
        <w:t xml:space="preserve">01</w:t>
      </w:r>
      <w:r>
        <w:t xml:space="preserve">	</w:t>
      </w:r>
      <w:r>
        <w:t xml:space="preserve">SugarAI field service implementation</w:t>
      </w:r>
    </w:p>
    <w:p>
      <w:pPr>
        <w:pStyle w:val="Body"/>
      </w:pPr>
      <w:r>
        <w:t xml:space="preserve">We configure the SugarAI field service CRM around your request-to-invoice cycle, from a ready-made blueprint.</w:t>
      </w:r>
    </w:p>
    <w:p>
      <w:pPr>
        <w:pStyle w:val="Heading4"/>
        <w:keepNext/>
        <w:keepLines/>
      </w:pPr>
      <w:r>
        <w:rPr>
          <w:color w:val="0E9488"/>
        </w:rPr>
        <w:t xml:space="preserve">02</w:t>
      </w:r>
      <w:r>
        <w:t xml:space="preserve">	</w:t>
      </w:r>
      <w:r>
        <w:t xml:space="preserve">Job types, checklists and dynamic forms</w:t>
      </w:r>
    </w:p>
    <w:p>
      <w:pPr>
        <w:pStyle w:val="Body"/>
      </w:pPr>
      <w:r>
        <w:t xml:space="preserve">A job type catalogue with durations, required skills and checklist templates per asset class.</w:t>
      </w:r>
    </w:p>
    <w:p>
      <w:pPr>
        <w:pStyle w:val="Heading4"/>
        <w:keepNext/>
        <w:keepLines/>
      </w:pPr>
      <w:r>
        <w:rPr>
          <w:color w:val="0E9488"/>
        </w:rPr>
        <w:t xml:space="preserve">03</w:t>
      </w:r>
      <w:r>
        <w:t xml:space="preserve">	</w:t>
      </w:r>
      <w:r>
        <w:t xml:space="preserve">Customer and subcontractor portals</w:t>
      </w:r>
    </w:p>
    <w:p>
      <w:pPr>
        <w:pStyle w:val="Body"/>
      </w:pPr>
      <w:r>
        <w:t xml:space="preserve">Customers log and track requests online, and subcontractors accept and close their jobs.</w:t>
      </w:r>
    </w:p>
    <w:p>
      <w:pPr>
        <w:pStyle w:val="Heading4"/>
        <w:keepNext/>
        <w:keepLines/>
      </w:pPr>
      <w:r>
        <w:rPr>
          <w:color w:val="0E9488"/>
        </w:rPr>
        <w:t xml:space="preserve">04</w:t>
      </w:r>
      <w:r>
        <w:t xml:space="preserve">	</w:t>
      </w:r>
      <w:r>
        <w:t xml:space="preserve">ERP, inventory and billing integration</w:t>
      </w:r>
    </w:p>
    <w:p>
      <w:pPr>
        <w:pStyle w:val="Body"/>
      </w:pPr>
      <w:r>
        <w:t xml:space="preserve">SugarAI reads parts, prices and stock from your ERP and hands closed work orders back for invoicing.</w:t>
      </w:r>
    </w:p>
    <w:p>
      <w:pPr>
        <w:pStyle w:val="Heading4"/>
        <w:keepNext/>
        <w:keepLines/>
      </w:pPr>
      <w:r>
        <w:rPr>
          <w:color w:val="0E9488"/>
        </w:rPr>
        <w:t xml:space="preserve">05</w:t>
      </w:r>
      <w:r>
        <w:t xml:space="preserve">	</w:t>
      </w:r>
      <w:r>
        <w:t xml:space="preserve">Case-to-work-order flow with SLA escalation</w:t>
      </w:r>
    </w:p>
    <w:p>
      <w:pPr>
        <w:pStyle w:val="Body"/>
      </w:pPr>
      <w:r>
        <w:t xml:space="preserve">Cases become work orders that escalate on SLA risk, with no separate work order management software.</w:t>
      </w:r>
    </w:p>
    <w:p>
      <w:pPr>
        <w:pStyle w:val="Heading4"/>
        <w:keepNext/>
        <w:keepLines/>
      </w:pPr>
      <w:r>
        <w:rPr>
          <w:color w:val="0E9488"/>
        </w:rPr>
        <w:t xml:space="preserve">06</w:t>
      </w:r>
      <w:r>
        <w:t xml:space="preserve">	</w:t>
      </w:r>
      <w:r>
        <w:t xml:space="preserve">Preventive maintenance and AMC renewals</w:t>
      </w:r>
    </w:p>
    <w:p>
      <w:pPr>
        <w:pStyle w:val="Body"/>
      </w:pPr>
      <w:r>
        <w:t xml:space="preserve">Planned visits generated from contract schedules, and AMC renewals queued well before they lapse.</w:t>
      </w:r>
    </w:p>
    <w:p>
      <w:pPr>
        <w:pStyle w:val="Heading4"/>
        <w:keepNext/>
        <w:keepLines/>
      </w:pPr>
      <w:r>
        <w:rPr>
          <w:color w:val="0E9488"/>
        </w:rPr>
        <w:t xml:space="preserve">07</w:t>
      </w:r>
      <w:r>
        <w:t xml:space="preserve">	</w:t>
      </w:r>
      <w:r>
        <w:t xml:space="preserve">Field service dashboards and KPIs</w:t>
      </w:r>
    </w:p>
    <w:p>
      <w:pPr>
        <w:pStyle w:val="Body"/>
      </w:pPr>
      <w:r>
        <w:t xml:space="preserve">First-time fix, SLA attainment, repeat visits and contract revenue, with group reporting in Power BI.</w:t>
      </w:r>
    </w:p>
    <w:p>
      <w:pPr>
        <w:pStyle w:val="Heading4"/>
        <w:keepNext/>
        <w:keepLines/>
      </w:pPr>
      <w:r>
        <w:rPr>
          <w:color w:val="0E9488"/>
        </w:rPr>
        <w:t xml:space="preserve">08</w:t>
      </w:r>
      <w:r>
        <w:t xml:space="preserve">	</w:t>
      </w:r>
      <w:r>
        <w:t xml:space="preserve">Mobile field service management</w:t>
      </w:r>
    </w:p>
    <w:p>
      <w:pPr>
        <w:pStyle w:val="Body"/>
      </w:pPr>
      <w:r>
        <w:t xml:space="preserve">Jobs, asset records and checklists on the technician's phone, with photos and signatures captured on site.</w:t>
      </w:r>
    </w:p>
    <w:p>
      <w:pPr>
        <w:pStyle w:val="Eyebrow"/>
      </w:pPr>
      <w:r>
        <w:t xml:space="preserve">Proven</w:t>
      </w:r>
    </w:p>
    <w:p>
      <w:pPr>
        <w:pStyle w:val="Heading2"/>
        <w:keepNext/>
        <w:keepLines/>
      </w:pPr>
      <w:r>
        <w:t xml:space="preserve">What the service desk and ERP layers deliver</w:t>
      </w:r>
    </w:p>
    <w:p>
      <w:pPr>
        <w:pStyle w:val="Lede"/>
        <w:keepNext/>
      </w:pPr>
      <w:r>
        <w:t xml:space="preserve">The first two figures are SugarCRM's own numbers for Sugar Serve, its customer service module. The third is analyst research on Sugar's ERP integration.</w:t>
      </w:r>
    </w:p>
    <w:tbl>
      <w:tblPr>
        <w:tblW w:type="dxa" w:w="9792"/>
        <w:tblBorders>
          <w:top w:val="single" w:color="BFCFDC" w:sz="4"/>
          <w:left w:val="single" w:color="BFCFDC" w:sz="4"/>
          <w:bottom w:val="single" w:color="BFCFDC" w:sz="4"/>
          <w:right w:val="single" w:color="BFCFDC" w:sz="4"/>
          <w:insideH w:val="single" w:color="BFCFDC" w:sz="4"/>
          <w:insideV w:val="single" w:color="BFCFDC" w:sz="4"/>
        </w:tblBorders>
      </w:tblPr>
      <w:tblGrid>
        <w:gridCol w:w="1700"/>
        <w:gridCol w:w="8092"/>
      </w:tblGrid>
      <w:tr>
        <w:trPr>
          <w:cantSplit/>
          <w:tblHeader/>
        </w:trPr>
        <w:tc>
          <w:tcPr>
            <w:tcW w:type="dxa" w:w="1700"/>
            <w:shd w:fill="10538F" w:color="auto" w:val="clear"/>
            <w:tcMar>
              <w:top w:type="dxa" w:w="80"/>
              <w:left w:type="dxa" w:w="120"/>
              <w:bottom w:type="dxa" w:w="80"/>
              <w:right w:type="dxa" w:w="120"/>
            </w:tcMar>
          </w:tcPr>
          <w:p>
            <w:pPr>
              <w:pStyle w:val="TableText"/>
              <w:keepNext/>
            </w:pPr>
            <w:r>
              <w:rPr>
                <w:b/>
                <w:bCs/>
                <w:color w:val="FFFFFF"/>
              </w:rPr>
              <w:t xml:space="preserve">Figure</w:t>
            </w:r>
          </w:p>
        </w:tc>
        <w:tc>
          <w:tcPr>
            <w:tcW w:type="dxa" w:w="8092"/>
            <w:shd w:fill="10538F" w:color="auto" w:val="clear"/>
            <w:tcMar>
              <w:top w:type="dxa" w:w="80"/>
              <w:left w:type="dxa" w:w="120"/>
              <w:bottom w:type="dxa" w:w="80"/>
              <w:right w:type="dxa" w:w="120"/>
            </w:tcMar>
          </w:tcPr>
          <w:p>
            <w:pPr>
              <w:pStyle w:val="TableText"/>
              <w:keepNext/>
            </w:pPr>
            <w:r>
              <w:rPr>
                <w:b/>
                <w:bCs/>
                <w:color w:val="FFFFFF"/>
              </w:rPr>
              <w:t xml:space="preserve">Label</w:t>
            </w:r>
          </w:p>
        </w:tc>
      </w:tr>
      <w:tr>
        <w:trPr>
          <w:cantSplit/>
        </w:trPr>
        <w:tc>
          <w:tcPr>
            <w:tcW w:type="dxa" w:w="1700"/>
            <w:tcMar>
              <w:top w:type="dxa" w:w="80"/>
              <w:left w:type="dxa" w:w="120"/>
              <w:bottom w:type="dxa" w:w="80"/>
              <w:right w:type="dxa" w:w="120"/>
            </w:tcMar>
          </w:tcPr>
          <w:p>
            <w:pPr>
              <w:pStyle w:val="TableText"/>
              <w:keepNext/>
            </w:pPr>
            <w:r>
              <w:rPr>
                <w:b/>
                <w:bCs/>
                <w:color w:val="0E9488"/>
                <w:sz w:val="24"/>
                <w:szCs w:val="24"/>
              </w:rPr>
              <w:t xml:space="preserve">-27%</w:t>
            </w:r>
          </w:p>
        </w:tc>
        <w:tc>
          <w:tcPr>
            <w:tcW w:type="dxa" w:w="8092"/>
            <w:tcMar>
              <w:top w:type="dxa" w:w="80"/>
              <w:left w:type="dxa" w:w="120"/>
              <w:bottom w:type="dxa" w:w="80"/>
              <w:right w:type="dxa" w:w="120"/>
            </w:tcMar>
          </w:tcPr>
          <w:p>
            <w:pPr>
              <w:pStyle w:val="TableText"/>
              <w:keepNext/>
            </w:pPr>
            <w:r>
              <w:t xml:space="preserve">Reduced case error rate</w:t>
            </w:r>
          </w:p>
        </w:tc>
      </w:tr>
      <w:tr>
        <w:trPr>
          <w:cantSplit/>
        </w:trPr>
        <w:tc>
          <w:tcPr>
            <w:tcW w:type="dxa" w:w="1700"/>
            <w:tcMar>
              <w:top w:type="dxa" w:w="80"/>
              <w:left w:type="dxa" w:w="120"/>
              <w:bottom w:type="dxa" w:w="80"/>
              <w:right w:type="dxa" w:w="120"/>
            </w:tcMar>
          </w:tcPr>
          <w:p>
            <w:pPr>
              <w:pStyle w:val="TableText"/>
              <w:keepNext/>
            </w:pPr>
            <w:r>
              <w:rPr>
                <w:b/>
                <w:bCs/>
                <w:color w:val="0E9488"/>
                <w:sz w:val="24"/>
                <w:szCs w:val="24"/>
              </w:rPr>
              <w:t xml:space="preserve">+30%</w:t>
            </w:r>
          </w:p>
        </w:tc>
        <w:tc>
          <w:tcPr>
            <w:tcW w:type="dxa" w:w="8092"/>
            <w:tcMar>
              <w:top w:type="dxa" w:w="80"/>
              <w:left w:type="dxa" w:w="120"/>
              <w:bottom w:type="dxa" w:w="80"/>
              <w:right w:type="dxa" w:w="120"/>
            </w:tcMar>
          </w:tcPr>
          <w:p>
            <w:pPr>
              <w:pStyle w:val="TableText"/>
              <w:keepNext/>
            </w:pPr>
            <w:r>
              <w:t xml:space="preserve">Revenue contribution from support teams</w:t>
            </w:r>
          </w:p>
        </w:tc>
      </w:tr>
      <w:tr>
        <w:trPr>
          <w:cantSplit/>
        </w:trPr>
        <w:tc>
          <w:tcPr>
            <w:tcW w:type="dxa" w:w="1700"/>
            <w:tcMar>
              <w:top w:type="dxa" w:w="80"/>
              <w:left w:type="dxa" w:w="120"/>
              <w:bottom w:type="dxa" w:w="80"/>
              <w:right w:type="dxa" w:w="120"/>
            </w:tcMar>
          </w:tcPr>
          <w:p>
            <w:pPr>
              <w:pStyle w:val="TableText"/>
              <w:keepNext w:val="false"/>
            </w:pPr>
            <w:r>
              <w:rPr>
                <w:b/>
                <w:bCs/>
                <w:color w:val="0E9488"/>
                <w:sz w:val="24"/>
                <w:szCs w:val="24"/>
              </w:rPr>
              <w:t xml:space="preserve">8%</w:t>
            </w:r>
          </w:p>
        </w:tc>
        <w:tc>
          <w:tcPr>
            <w:tcW w:type="dxa" w:w="8092"/>
            <w:tcMar>
              <w:top w:type="dxa" w:w="80"/>
              <w:left w:type="dxa" w:w="120"/>
              <w:bottom w:type="dxa" w:w="80"/>
              <w:right w:type="dxa" w:w="120"/>
            </w:tcMar>
          </w:tcPr>
          <w:p>
            <w:pPr>
              <w:pStyle w:val="TableText"/>
              <w:keepNext w:val="false"/>
            </w:pPr>
            <w:r>
              <w:t xml:space="preserve">Higher recurring revenue with ERP integration (Nucleus Research)</w:t>
            </w:r>
          </w:p>
        </w:tc>
      </w:tr>
    </w:tbl>
    <w:p>
      <w:pPr>
        <w:pStyle w:val="Eyebrow"/>
      </w:pPr>
      <w:r>
        <w:t xml:space="preserve">Get started</w:t>
      </w:r>
    </w:p>
    <w:p>
      <w:pPr>
        <w:pStyle w:val="Heading2"/>
        <w:keepNext/>
        <w:keepLines/>
      </w:pPr>
      <w:r>
        <w:t xml:space="preserve">See SugarAI running your own jobs, from service request to signed job sheet.</w:t>
      </w:r>
    </w:p>
    <w:p>
      <w:pPr>
        <w:pStyle w:val="ButtonNote"/>
      </w:pPr>
      <w:r>
        <w:rPr>
          <w:b/>
          <w:bCs/>
        </w:rPr>
        <w:t xml:space="preserve">Button: </w:t>
      </w:r>
      <w:r>
        <w:t xml:space="preserve">Talk to our field service team</w:t>
      </w:r>
    </w:p>
    <w:p>
      <w:pPr>
        <w:pStyle w:val="Eyebrow"/>
      </w:pPr>
      <w:r>
        <w:t xml:space="preserve">Who we serve</w:t>
      </w:r>
    </w:p>
    <w:p>
      <w:pPr>
        <w:pStyle w:val="Heading2"/>
        <w:keepNext/>
        <w:keepLines/>
      </w:pPr>
      <w:r>
        <w:t xml:space="preserve">Field service businesses we configure SugarAI for</w:t>
      </w:r>
    </w:p>
    <w:p>
      <w:pPr>
        <w:pStyle w:val="Lede"/>
      </w:pPr>
      <w:r>
        <w:t xml:space="preserve">Each type of service operation gets its own SugarAI setup.</w:t>
      </w:r>
    </w:p>
    <w:p>
      <w:pPr>
        <w:pStyle w:val="Heading4"/>
        <w:keepNext/>
        <w:keepLines/>
      </w:pPr>
      <w:r>
        <w:t xml:space="preserve">Integrated facilities management providers</w:t>
      </w:r>
    </w:p>
    <w:p>
      <w:pPr>
        <w:pStyle w:val="Body"/>
      </w:pPr>
      <w:r>
        <w:t xml:space="preserve">Hard and soft services across property portfolios, with heavy helpdesk volumes.</w:t>
      </w:r>
    </w:p>
    <w:p>
      <w:pPr>
        <w:pStyle w:val="Heading4"/>
        <w:keepNext/>
        <w:keepLines/>
      </w:pPr>
      <w:r>
        <w:t xml:space="preserve">HVAC, MEP and building services contractors</w:t>
      </w:r>
    </w:p>
    <w:p>
      <w:pPr>
        <w:pStyle w:val="Body"/>
      </w:pPr>
      <w:r>
        <w:t xml:space="preserve">Breakdown call-outs and planned maintenance, with cooling uptime as the priority.</w:t>
      </w:r>
    </w:p>
    <w:p>
      <w:pPr>
        <w:pStyle w:val="Heading4"/>
        <w:keepNext/>
        <w:keepLines/>
      </w:pPr>
      <w:r>
        <w:t xml:space="preserve">Equipment manufacturers and distributors</w:t>
      </w:r>
    </w:p>
    <w:p>
      <w:pPr>
        <w:pStyle w:val="Body"/>
      </w:pPr>
      <w:r>
        <w:t xml:space="preserve">Installed-base service, warranty and commissioning, extending SugarAI for manufacturers into after-sales.</w:t>
      </w:r>
    </w:p>
    <w:p>
      <w:pPr>
        <w:pStyle w:val="Heading4"/>
        <w:keepNext/>
        <w:keepLines/>
      </w:pPr>
      <w:r>
        <w:t xml:space="preserve">Lift, fire and life safety, and security system maintainers</w:t>
      </w:r>
    </w:p>
    <w:p>
      <w:pPr>
        <w:pStyle w:val="Body"/>
      </w:pPr>
      <w:r>
        <w:t xml:space="preserve">Statutory inspections and certificates held against every site and system.</w:t>
      </w:r>
    </w:p>
    <w:p>
      <w:pPr>
        <w:pStyle w:val="Heading4"/>
        <w:keepNext/>
        <w:keepLines/>
      </w:pPr>
      <w:r>
        <w:t xml:space="preserve">Medical and laboratory equipment service teams</w:t>
      </w:r>
    </w:p>
    <w:p>
      <w:pPr>
        <w:pStyle w:val="Body"/>
      </w:pPr>
      <w:r>
        <w:t xml:space="preserve">Calibration schedules, uptime commitments and audit-ready service records.</w:t>
      </w:r>
    </w:p>
    <w:p>
      <w:pPr>
        <w:pStyle w:val="Heading4"/>
        <w:keepNext/>
        <w:keepLines/>
      </w:pPr>
      <w:r>
        <w:t xml:space="preserve">Energy, solar and utilities O&amp;M teams</w:t>
      </w:r>
    </w:p>
    <w:p>
      <w:pPr>
        <w:pStyle w:val="Body"/>
      </w:pPr>
      <w:r>
        <w:t xml:space="preserve">Remote, distributed assets, inspection rounds and performance-linked service agreements.</w:t>
      </w:r>
    </w:p>
    <w:p>
      <w:pPr>
        <w:pStyle w:val="Eyebrow"/>
      </w:pPr>
      <w:r>
        <w:t xml:space="preserve">Regional fit</w:t>
      </w:r>
    </w:p>
    <w:p>
      <w:pPr>
        <w:pStyle w:val="Heading2"/>
        <w:keepNext/>
        <w:keepLines/>
      </w:pPr>
      <w:r>
        <w:t xml:space="preserve">Set up for field work in the UAE and wider GCC</w:t>
      </w:r>
    </w:p>
    <w:p>
      <w:pPr>
        <w:pStyle w:val="Lede"/>
        <w:keepNext/>
      </w:pPr>
      <w:r>
        <w:t xml:space="preserve">Field service management in the UAE means crews spanning several emirates, customers served in Arabic and English, and a summer cooling peak on top of contracted maintenance. HLB HAMT configures SugarAI around all of it.</w:t>
      </w:r>
    </w:p>
    <w:p>
      <w:pPr>
        <w:pStyle w:val="ButtonNote"/>
      </w:pPr>
      <w:r>
        <w:rPr>
          <w:b/>
          <w:bCs/>
        </w:rPr>
        <w:t xml:space="preserve">Button: </w:t>
      </w:r>
      <w:r>
        <w:t xml:space="preserve">Talk to our field service team</w:t>
      </w:r>
    </w:p>
    <w:p>
      <w:pPr>
        <w:pStyle w:val="Body"/>
        <w:numPr>
          <w:ilvl w:val="0"/>
          <w:numId w:val="2"/>
        </w:numPr>
      </w:pPr>
      <w:r>
        <w:rPr>
          <w:b/>
          <w:bCs/>
        </w:rPr>
        <w:t xml:space="preserve">Bilingual job sheets and customer updates</w:t>
      </w:r>
      <w:r>
        <w:br/>
        <w:t xml:space="preserve">Screens, job reports and customer notifications in Arabic or English.</w:t>
      </w:r>
    </w:p>
    <w:p>
      <w:pPr>
        <w:pStyle w:val="Body"/>
        <w:numPr>
          <w:ilvl w:val="0"/>
          <w:numId w:val="2"/>
        </w:numPr>
      </w:pPr>
      <w:r>
        <w:rPr>
          <w:b/>
          <w:bCs/>
        </w:rPr>
        <w:t xml:space="preserve">WhatsApp appointment and arrival updates</w:t>
      </w:r>
      <w:r>
        <w:br/>
        <w:t xml:space="preserve">Booking, arrival and completion messages sent on WhatsApp and logged against the job.</w:t>
      </w:r>
    </w:p>
    <w:p>
      <w:pPr>
        <w:pStyle w:val="Body"/>
        <w:numPr>
          <w:ilvl w:val="0"/>
          <w:numId w:val="2"/>
        </w:numPr>
      </w:pPr>
      <w:r>
        <w:rPr>
          <w:b/>
          <w:bCs/>
        </w:rPr>
        <w:t xml:space="preserve">Multi-entity, multi-emirate operations</w:t>
      </w:r>
      <w:r>
        <w:br/>
        <w:t xml:space="preserve">Branches across emirates and the GCC keep their own crews but report as one group.</w:t>
      </w:r>
    </w:p>
    <w:p>
      <w:pPr>
        <w:pStyle w:val="Body"/>
        <w:numPr>
          <w:ilvl w:val="0"/>
          <w:numId w:val="2"/>
        </w:numPr>
      </w:pPr>
      <w:r>
        <w:rPr>
          <w:b/>
          <w:bCs/>
        </w:rPr>
        <w:t xml:space="preserve">Authority inspection tracking</w:t>
      </w:r>
      <w:r>
        <w:br/>
        <w:t xml:space="preserve">Civil defence and other authority inspections scheduled and evidenced per site.</w:t>
      </w:r>
    </w:p>
    <w:p>
      <w:pPr>
        <w:pStyle w:val="Body"/>
        <w:numPr>
          <w:ilvl w:val="0"/>
          <w:numId w:val="2"/>
        </w:numPr>
      </w:pPr>
      <w:r>
        <w:rPr>
          <w:b/>
          <w:bCs/>
        </w:rPr>
        <w:t xml:space="preserve">Summer peak capacity planning</w:t>
      </w:r>
      <w:r>
        <w:br/>
        <w:t xml:space="preserve">Job volumes, technician availability and subcontractor capacity planned before the cooling season.</w:t>
      </w:r>
    </w:p>
    <w:p>
      <w:pPr>
        <w:pStyle w:val="Body"/>
        <w:numPr>
          <w:ilvl w:val="0"/>
          <w:numId w:val="2"/>
        </w:numPr>
      </w:pPr>
      <w:r>
        <w:rPr>
          <w:b/>
          <w:bCs/>
        </w:rPr>
        <w:t xml:space="preserve">Cloud, private cloud or on-premise</w:t>
      </w:r>
      <w:r>
        <w:br/>
        <w:t xml:space="preserve">Each group entity can run on a different deployment mode.</w:t>
      </w:r>
    </w:p>
    <w:p>
      <w:pPr>
        <w:pStyle w:val="Eyebrow"/>
      </w:pPr>
      <w:r>
        <w:t xml:space="preserve">How we work</w:t>
      </w:r>
    </w:p>
    <w:p>
      <w:pPr>
        <w:pStyle w:val="Heading2"/>
        <w:keepNext/>
        <w:keepLines/>
      </w:pPr>
      <w:r>
        <w:t xml:space="preserve">How we roll out SugarAI CRM for field service teams</w:t>
      </w:r>
    </w:p>
    <w:p>
      <w:pPr>
        <w:pStyle w:val="Lede"/>
      </w:pPr>
      <w:r>
        <w:t xml:space="preserve">Each stage ends with your sign-off. The service desk goes live first; mobile job sheets and scheduling follow.</w:t>
      </w:r>
    </w:p>
    <w:p>
      <w:pPr>
        <w:pStyle w:val="Heading4"/>
        <w:keepNext/>
        <w:keepLines/>
      </w:pPr>
      <w:r>
        <w:t xml:space="preserve">Discovery</w:t>
      </w:r>
    </w:p>
    <w:p>
      <w:pPr>
        <w:pStyle w:val="Body"/>
      </w:pPr>
      <w:r>
        <w:t xml:space="preserve">Workshops follow a typical job end to end: call, visit, invoice and renewal.</w:t>
      </w:r>
    </w:p>
    <w:p>
      <w:pPr>
        <w:pStyle w:val="Heading4"/>
        <w:keepNext/>
        <w:keepLines/>
      </w:pPr>
      <w:r>
        <w:t xml:space="preserve">Solution design</w:t>
      </w:r>
    </w:p>
    <w:p>
      <w:pPr>
        <w:pStyle w:val="Body"/>
      </w:pPr>
      <w:r>
        <w:t xml:space="preserve">Job types, skills matrix, SLA, entitlement and assignment rules agreed in writing.</w:t>
      </w:r>
    </w:p>
    <w:p>
      <w:pPr>
        <w:pStyle w:val="Heading4"/>
        <w:keepNext/>
        <w:keepLines/>
      </w:pPr>
      <w:r>
        <w:t xml:space="preserve">Configure and build</w:t>
      </w:r>
    </w:p>
    <w:p>
      <w:pPr>
        <w:pStyle w:val="Body"/>
      </w:pPr>
      <w:r>
        <w:t xml:space="preserve">Consultants configure cases, work orders, job sheets, portals and ERP links.</w:t>
      </w:r>
    </w:p>
    <w:p>
      <w:pPr>
        <w:pStyle w:val="Heading4"/>
        <w:keepNext/>
        <w:keepLines/>
      </w:pPr>
      <w:r>
        <w:t xml:space="preserve">Data migration</w:t>
      </w:r>
    </w:p>
    <w:p>
      <w:pPr>
        <w:pStyle w:val="Body"/>
      </w:pPr>
      <w:r>
        <w:t xml:space="preserve">We trial-load customer, site, asset and contract records, removing duplicates before cutover.</w:t>
      </w:r>
    </w:p>
    <w:p>
      <w:pPr>
        <w:pStyle w:val="Heading4"/>
        <w:keepNext/>
        <w:keepLines/>
      </w:pPr>
      <w:r>
        <w:t xml:space="preserve">Test and train</w:t>
      </w:r>
    </w:p>
    <w:p>
      <w:pPr>
        <w:pStyle w:val="Body"/>
      </w:pPr>
      <w:r>
        <w:t xml:space="preserve">Acceptance tests signed off, then role-based training, on-device for technicians.</w:t>
      </w:r>
    </w:p>
    <w:p>
      <w:pPr>
        <w:pStyle w:val="Heading4"/>
        <w:keepNext/>
        <w:keepLines/>
      </w:pPr>
      <w:r>
        <w:t xml:space="preserve">Go-live and support</w:t>
      </w:r>
    </w:p>
    <w:p>
      <w:pPr>
        <w:pStyle w:val="Body"/>
      </w:pPr>
      <w:r>
        <w:t xml:space="preserve">Hypercare covers each launch phase; an SLA then governs managed support.</w:t>
      </w:r>
    </w:p>
    <w:p>
      <w:pPr>
        <w:pStyle w:val="Heading4"/>
        <w:keepNext/>
        <w:pBdr>
          <w:left w:val="single" w:color="0E9488" w:sz="18" w:space="8"/>
        </w:pBdr>
        <w:shd w:fill="EAF1F7" w:color="auto" w:val="clear"/>
        <w:spacing w:after="0" w:before="240"/>
      </w:pPr>
      <w:r>
        <w:t xml:space="preserve">Start with Guided Low-Touch onboarding, then add the field layer</w:t>
      </w:r>
    </w:p>
    <w:p>
      <w:pPr>
        <w:pStyle w:val="Body"/>
        <w:keepNext w:val="false"/>
        <w:pBdr>
          <w:left w:val="single" w:color="0E9488" w:sz="18" w:space="8"/>
        </w:pBdr>
        <w:shd w:fill="EAF1F7" w:color="auto" w:val="clear"/>
        <w:spacing w:after="160" w:before="0"/>
      </w:pPr>
      <w:r>
        <w:t xml:space="preserve">Guided Low-Touch onboarding gets a standard service desk (cases, SLAs, customer records) working quickly. Scheduling rules, mobile job sheets and ERP integration follow next.</w:t>
      </w:r>
    </w:p>
    <w:p>
      <w:pPr>
        <w:pStyle w:val="Eyebrow"/>
      </w:pPr>
      <w:r>
        <w:t xml:space="preserve">Why HLB HAMT</w:t>
      </w:r>
    </w:p>
    <w:p>
      <w:pPr>
        <w:pStyle w:val="Heading2"/>
        <w:keepNext/>
        <w:keepLines/>
      </w:pPr>
      <w:r>
        <w:t xml:space="preserve">Why service businesses choose HLB HAMT</w:t>
      </w:r>
    </w:p>
    <w:p>
      <w:pPr>
        <w:pStyle w:val="Heading3"/>
        <w:keepNext/>
        <w:keepLines/>
      </w:pPr>
      <w:r>
        <w:t xml:space="preserve">Regional delivery depth</w:t>
      </w:r>
    </w:p>
    <w:p>
      <w:pPr>
        <w:pStyle w:val="Body"/>
      </w:pPr>
      <w:r>
        <w:t xml:space="preserve">Gulf maintenance contracts have their own tendering, pricing and delivery conventions, which 26 years in the UAE and GCC have taught us.</w:t>
      </w:r>
    </w:p>
    <w:p>
      <w:pPr>
        <w:pStyle w:val="Heading3"/>
        <w:keepNext/>
        <w:keepLines/>
      </w:pPr>
      <w:r>
        <w:t xml:space="preserve">A field service blueprint to start from</w:t>
      </w:r>
    </w:p>
    <w:p>
      <w:pPr>
        <w:pStyle w:val="Body"/>
      </w:pPr>
      <w:r>
        <w:t xml:space="preserve">Job types, SLA rules, checklists and dashboards arrive preconfigured and are adapted to your contracts.</w:t>
      </w:r>
    </w:p>
    <w:p>
      <w:pPr>
        <w:pStyle w:val="Heading3"/>
        <w:keepNext/>
        <w:keepLines/>
      </w:pPr>
      <w:r>
        <w:t xml:space="preserve">One team from design to support</w:t>
      </w:r>
    </w:p>
    <w:p>
      <w:pPr>
        <w:pStyle w:val="Body"/>
      </w:pPr>
      <w:r>
        <w:t xml:space="preserve">No part of your project is subcontracted: our technology consulting services team designs, builds, integrates and supports it.</w:t>
      </w:r>
    </w:p>
    <w:p>
      <w:pPr>
        <w:pStyle w:val="Heading3"/>
        <w:keepNext/>
        <w:keepLines/>
      </w:pPr>
      <w:r>
        <w:t xml:space="preserve">Support after go-live</w:t>
      </w:r>
    </w:p>
    <w:p>
      <w:pPr>
        <w:pStyle w:val="Body"/>
      </w:pPr>
      <w:r>
        <w:t xml:space="preserve">Your build team stays on after launch under agreed service levels, and one named manager takes escalations.</w:t>
      </w:r>
    </w:p>
    <w:p>
      <w:pPr>
        <w:pStyle w:val="Eyebrow"/>
      </w:pPr>
      <w:r>
        <w:t xml:space="preserve">Common questions</w:t>
      </w:r>
    </w:p>
    <w:p>
      <w:pPr>
        <w:pStyle w:val="Heading2"/>
        <w:keepNext/>
        <w:keepLines/>
      </w:pPr>
      <w:r>
        <w:t xml:space="preserve">Questions field service teams ask us</w:t>
      </w:r>
    </w:p>
    <w:p>
      <w:pPr>
        <w:pStyle w:val="Heading3"/>
        <w:keepNext/>
        <w:keepLines/>
      </w:pPr>
      <w:r>
        <w:t xml:space="preserve">How does SugarAI share parts, pricing and invoice data with our ERP?</w:t>
      </w:r>
    </w:p>
    <w:p>
      <w:pPr>
        <w:pStyle w:val="Body"/>
      </w:pPr>
      <w:r>
        <w:t xml:space="preserve">Through integration. Your ERP owns stock, pricing and invoicing, while SugarAI, as your field service CRM software, pulls in parts and prices, then returns completed work orders for billing.</w:t>
      </w:r>
    </w:p>
    <w:p>
      <w:pPr>
        <w:pStyle w:val="Heading3"/>
        <w:keepNext/>
        <w:keepLines/>
      </w:pPr>
      <w:r>
        <w:t xml:space="preserve">How do technicians use SugarAI on site?</w:t>
      </w:r>
    </w:p>
    <w:p>
      <w:pPr>
        <w:pStyle w:val="Body"/>
      </w:pPr>
      <w:r>
        <w:t xml:space="preserve">Technicians work from their phone: the day's jobs, the site address for directions, the asset's history and a checklist that takes photos, readings and the customer's signature.</w:t>
      </w:r>
    </w:p>
    <w:p>
      <w:pPr>
        <w:pStyle w:val="Heading3"/>
        <w:keepNext/>
        <w:keepLines/>
      </w:pPr>
      <w:r>
        <w:t xml:space="preserve">How are SLAs and contract entitlements tracked?</w:t>
      </w:r>
    </w:p>
    <w:p>
      <w:pPr>
        <w:pStyle w:val="Body"/>
      </w:pPr>
      <w:r>
        <w:t xml:space="preserve">Response and resolution targets come from the customer's contract entitlements. Every work order runs its own SLA clock, with alerts before a breach and attainment reported per contract.</w:t>
      </w:r>
    </w:p>
    <w:p>
      <w:pPr>
        <w:pStyle w:val="Heading3"/>
        <w:keepNext/>
        <w:keepLines/>
      </w:pPr>
      <w:r>
        <w:t xml:space="preserve">Can we manage subcontractors alongside our own technicians?</w:t>
      </w:r>
    </w:p>
    <w:p>
      <w:pPr>
        <w:pStyle w:val="Body"/>
      </w:pPr>
      <w:r>
        <w:t xml:space="preserve">Yes. Each subcontractor has a record with skills and rates, closes jobs through a portal and follows your job sheet standard, so customers see one provider.</w:t>
      </w:r>
    </w:p>
    <w:p>
      <w:pPr>
        <w:pStyle w:val="Heading3"/>
        <w:keepNext/>
        <w:keepLines/>
      </w:pPr>
      <w:r>
        <w:t xml:space="preserve">What happens when a job cannot be fixed on the first visit?</w:t>
      </w:r>
    </w:p>
    <w:p>
      <w:pPr>
        <w:pStyle w:val="Body"/>
      </w:pPr>
      <w:r>
        <w:t xml:space="preserve">A linked follow-up work order opens, recording why: parts, access or skills. Parts requests go to stores or the ERP, and first-time fix reports show which assets need attention.</w:t>
      </w:r>
    </w:p>
    <w:p>
      <w:pPr>
        <w:pStyle w:val="Heading3"/>
        <w:keepNext/>
        <w:keepLines/>
      </w:pPr>
      <w:r>
        <w:t xml:space="preserve">Can SugarAI plan preventive maintenance as well as reactive call-outs?</w:t>
      </w:r>
    </w:p>
    <w:p>
      <w:pPr>
        <w:pStyle w:val="Body"/>
      </w:pPr>
      <w:r>
        <w:t xml:space="preserve">Yes. Preventive visits are generated from contract schedules and asset types, alongside reactive cases, so planners see both kinds of work in one place.</w:t>
      </w:r>
    </w:p>
    <w:p>
      <w:pPr>
        <w:pStyle w:val="Heading3"/>
        <w:keepNext/>
        <w:keepLines/>
      </w:pPr>
      <w:r>
        <w:t xml:space="preserve">We already run SugarCRM. Does SugarCRM field service management carry over to SugarAI?</w:t>
      </w:r>
    </w:p>
    <w:p>
      <w:pPr>
        <w:pStyle w:val="Body"/>
      </w:pPr>
      <w:r>
        <w:t xml:space="preserve">Yes. SugarCRM became SugarAI in April 2026, and existing instances keep running. We can add field service capabilities to yours, or audit and clean up an implementation that stalled.</w:t>
      </w:r>
    </w:p>
    <w:p>
      <w:pPr>
        <w:pStyle w:val="SourceHead"/>
      </w:pPr>
      <w:r>
        <w:t xml:space="preserve">Sources</w:t>
      </w:r>
    </w:p>
    <w:p>
      <w:pPr>
        <w:pStyle w:val="SourceText"/>
        <w:numPr>
          <w:ilvl w:val="0"/>
          <w:numId w:val="3"/>
        </w:numPr>
      </w:pPr>
      <w:r>
        <w:t xml:space="preserve">Non-stat fact stated in FAQ 7 (SugarCRM rebranded as SugarAI, April 2026): </w:t>
      </w:r>
      <w:hyperlink w:history="1" r:id="rIdppy0zsmvlmtirhh-y2m_e">
        <w:r>
          <w:rPr>
            <w:rStyle w:val="Hyperlink"/>
          </w:rPr>
          <w:t xml:space="preserve">https://sugarai.com/press-releases/sugarcrm-unveils-new-brand-identity-as-sugarai-declaring-the-next-generation-of-crm</w:t>
        </w:r>
      </w:hyperlink>
    </w:p>
    <w:p>
      <w:pPr>
        <w:pStyle w:val="Eyebrow"/>
      </w:pPr>
      <w:r>
        <w:t xml:space="preserve">Get started</w:t>
      </w:r>
    </w:p>
    <w:p>
      <w:pPr>
        <w:pStyle w:val="Heading2"/>
        <w:keepNext/>
        <w:keepLines/>
      </w:pPr>
      <w:r>
        <w:t xml:space="preserve">See SugarAI running your own jobs, from service request to signed job sheet.</w:t>
      </w:r>
    </w:p>
    <w:p>
      <w:pPr>
        <w:pStyle w:val="ButtonNote"/>
        <w:keepNext/>
      </w:pPr>
      <w:r>
        <w:rPr>
          <w:b/>
          <w:bCs/>
        </w:rPr>
        <w:t xml:space="preserve">Button: </w:t>
      </w:r>
      <w:r>
        <w:t xml:space="preserve">Talk to our field service team (links to /contact/)</w:t>
      </w:r>
    </w:p>
    <w:p>
      <w:pPr>
        <w:pStyle w:val="Heading4"/>
        <w:keepNext/>
        <w:keepLines/>
      </w:pPr>
      <w:r>
        <w:t xml:space="preserve">What happens next</w:t>
      </w:r>
    </w:p>
    <w:p>
      <w:pPr>
        <w:pStyle w:val="Body"/>
        <w:keepNext/>
        <w:numPr>
          <w:ilvl w:val="0"/>
          <w:numId w:val="4"/>
        </w:numPr>
      </w:pPr>
      <w:r>
        <w:t xml:space="preserve">First, we talk through your job types, contracts, crews and today's systems.</w:t>
      </w:r>
    </w:p>
    <w:p>
      <w:pPr>
        <w:pStyle w:val="Body"/>
        <w:keepNext/>
        <w:numPr>
          <w:ilvl w:val="0"/>
          <w:numId w:val="4"/>
        </w:numPr>
      </w:pPr>
      <w:r>
        <w:t xml:space="preserve">A demo that runs your real work orders and job sheets through SugarAI.</w:t>
      </w:r>
    </w:p>
    <w:p>
      <w:pPr>
        <w:pStyle w:val="Body"/>
        <w:keepNext w:val="false"/>
        <w:numPr>
          <w:ilvl w:val="0"/>
          <w:numId w:val="4"/>
        </w:numPr>
      </w:pPr>
      <w:r>
        <w:t xml:space="preserve">Scope, phases, timeline and cost, in writing for your sign-off.</w:t>
      </w:r>
    </w:p>
    <w:sectPr>
      <w:footerReference w:type="default" r:id="rId7"/>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6B7D"/>
        <w:sz w:val="15"/>
        <w:szCs w:val="15"/>
      </w:rPr>
      <w:t xml:space="preserve">SugarAI for Field Service Management  |  HLB HAMT  |  Page </w:t>
    </w:r>
    <w:r>
      <w:rPr>
        <w:color w:val="576B7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color w:val="0E9488"/>
      </w:r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B8761C" w:sz="12" w:space="4"/>
      </w:pBdr>
      <w:spacing w:after="120" w:before="0"/>
    </w:pPr>
    <w:rPr>
      <w:rFonts w:ascii="Arial" w:cs="Arial" w:eastAsia="Arial" w:hAnsi="Arial"/>
      <w:b/>
      <w:bCs/>
      <w:color w:val="10538F"/>
      <w:sz w:val="36"/>
      <w:szCs w:val="36"/>
    </w:rPr>
  </w:style>
  <w:style w:type="paragraph" w:styleId="Heading1">
    <w:name w:val="Heading 1"/>
    <w:basedOn w:val="Normal"/>
    <w:next w:val="Normal"/>
    <w:qFormat/>
    <w:pPr>
      <w:spacing w:after="160" w:before="60"/>
      <w:outlineLvl w:val="0"/>
    </w:pPr>
    <w:rPr>
      <w:rFonts w:ascii="Arial" w:cs="Arial" w:eastAsia="Arial" w:hAnsi="Arial"/>
      <w:b/>
      <w:bCs/>
      <w:color w:val="10538F"/>
      <w:sz w:val="40"/>
      <w:szCs w:val="40"/>
    </w:rPr>
  </w:style>
  <w:style w:type="paragraph" w:styleId="Heading2">
    <w:name w:val="Heading 2"/>
    <w:basedOn w:val="Normal"/>
    <w:next w:val="Normal"/>
    <w:qFormat/>
    <w:pPr>
      <w:pBdr>
        <w:bottom w:val="single" w:color="B8761C" w:sz="12" w:space="4"/>
      </w:pBdr>
      <w:spacing w:after="120" w:before="60"/>
      <w:outlineLvl w:val="1"/>
    </w:pPr>
    <w:rPr>
      <w:rFonts w:ascii="Arial" w:cs="Arial" w:eastAsia="Arial" w:hAnsi="Arial"/>
      <w:b/>
      <w:bCs/>
      <w:color w:val="10538F"/>
      <w:sz w:val="30"/>
      <w:szCs w:val="30"/>
    </w:rPr>
  </w:style>
  <w:style w:type="paragraph" w:styleId="Heading3">
    <w:name w:val="Heading 3"/>
    <w:basedOn w:val="Normal"/>
    <w:next w:val="Normal"/>
    <w:qFormat/>
    <w:pPr>
      <w:spacing w:after="60" w:before="200"/>
      <w:outlineLvl w:val="2"/>
    </w:pPr>
    <w:rPr>
      <w:rFonts w:ascii="Arial" w:cs="Arial" w:eastAsia="Arial" w:hAnsi="Arial"/>
      <w:b/>
      <w:bCs/>
      <w:color w:val="0A1F33"/>
      <w:sz w:val="24"/>
      <w:szCs w:val="24"/>
    </w:rPr>
  </w:style>
  <w:style w:type="paragraph" w:styleId="Heading4">
    <w:name w:val="Heading 4"/>
    <w:basedOn w:val="Normal"/>
    <w:next w:val="Normal"/>
    <w:qFormat/>
    <w:pPr>
      <w:tabs>
        <w:tab w:val="left" w:pos="540"/>
      </w:tabs>
      <w:spacing w:after="40" w:before="160"/>
      <w:outlineLvl w:val="3"/>
    </w:pPr>
    <w:rPr>
      <w:rFonts w:ascii="Arial" w:cs="Arial" w:eastAsia="Arial" w:hAnsi="Arial"/>
      <w:b/>
      <w:bCs/>
      <w:color w:val="0A1F33"/>
      <w:sz w:val="21"/>
      <w:szCs w:val="21"/>
    </w:rPr>
  </w:style>
  <w:style w:type="paragraph" w:styleId="SectionLabel">
    <w:name w:val="Section Label"/>
    <w:basedOn w:val="Normal"/>
    <w:next w:val="Normal"/>
    <w:pPr>
      <w:pBdr>
        <w:bottom w:val="single" w:color="B8761C" w:sz="12" w:space="4"/>
      </w:pBdr>
      <w:spacing w:after="160" w:before="320"/>
    </w:pPr>
    <w:rPr>
      <w:rFonts w:ascii="Arial" w:cs="Arial" w:eastAsia="Arial" w:hAnsi="Arial"/>
      <w:b/>
      <w:bCs/>
      <w:color w:val="10538F"/>
      <w:sz w:val="30"/>
      <w:szCs w:val="30"/>
    </w:rPr>
  </w:style>
  <w:style w:type="paragraph" w:styleId="Eyebrow">
    <w:name w:val="Eyebrow"/>
    <w:basedOn w:val="Normal"/>
    <w:next w:val="Normal"/>
    <w:pPr>
      <w:keepNext/>
      <w:spacing w:after="40" w:before="440"/>
    </w:pPr>
    <w:rPr>
      <w:rFonts w:ascii="Arial" w:cs="Arial" w:eastAsia="Arial" w:hAnsi="Arial"/>
      <w:b/>
      <w:bCs/>
      <w:caps/>
      <w:color w:val="0E9488"/>
      <w:spacing w:val="30"/>
      <w:sz w:val="16"/>
      <w:szCs w:val="16"/>
    </w:rPr>
  </w:style>
  <w:style w:type="paragraph" w:styleId="Lede">
    <w:name w:val="Lede"/>
    <w:basedOn w:val="Normal"/>
    <w:next w:val="Normal"/>
    <w:pPr>
      <w:spacing w:after="160" w:line="300"/>
    </w:pPr>
    <w:rPr>
      <w:rFonts w:ascii="Arial" w:cs="Arial" w:eastAsia="Arial" w:hAnsi="Arial"/>
      <w:color w:val="1D3A52"/>
      <w:sz w:val="22"/>
      <w:szCs w:val="22"/>
    </w:rPr>
  </w:style>
  <w:style w:type="paragraph" w:styleId="Body">
    <w:name w:val="Body"/>
    <w:basedOn w:val="Normal"/>
    <w:next w:val="Normal"/>
    <w:pPr>
      <w:spacing w:after="120" w:line="280"/>
    </w:pPr>
    <w:rPr>
      <w:rFonts w:ascii="Arial" w:cs="Arial" w:eastAsia="Arial" w:hAnsi="Arial"/>
      <w:color w:val="0A1F33"/>
      <w:sz w:val="20"/>
      <w:szCs w:val="20"/>
    </w:rPr>
  </w:style>
  <w:style w:type="paragraph" w:styleId="ButtonNote">
    <w:name w:val="Button Note"/>
    <w:basedOn w:val="Normal"/>
    <w:next w:val="Normal"/>
    <w:pPr>
      <w:spacing w:after="160" w:before="40"/>
    </w:pPr>
    <w:rPr>
      <w:rFonts w:ascii="Arial" w:cs="Arial" w:eastAsia="Arial" w:hAnsi="Arial"/>
      <w:color w:val="10538F"/>
      <w:sz w:val="18"/>
      <w:szCs w:val="18"/>
    </w:rPr>
  </w:style>
  <w:style w:type="paragraph" w:styleId="Tag">
    <w:name w:val="Card Tag"/>
    <w:basedOn w:val="Normal"/>
    <w:next w:val="Normal"/>
    <w:pPr>
      <w:keepNext/>
      <w:spacing w:after="0" w:before="200"/>
    </w:pPr>
    <w:rPr>
      <w:rFonts w:ascii="Arial" w:cs="Arial" w:eastAsia="Arial" w:hAnsi="Arial"/>
      <w:b/>
      <w:bCs/>
      <w:caps/>
      <w:color w:val="0E9488"/>
      <w:spacing w:val="20"/>
      <w:sz w:val="16"/>
      <w:szCs w:val="16"/>
    </w:rPr>
  </w:style>
  <w:style w:type="paragraph" w:styleId="TableText">
    <w:name w:val="Table Text"/>
    <w:basedOn w:val="Normal"/>
    <w:next w:val="Normal"/>
    <w:pPr>
      <w:spacing w:after="40" w:before="0"/>
    </w:pPr>
    <w:rPr>
      <w:rFonts w:ascii="Arial" w:cs="Arial" w:eastAsia="Arial" w:hAnsi="Arial"/>
      <w:color w:val="0A1F33"/>
      <w:sz w:val="18"/>
      <w:szCs w:val="18"/>
    </w:rPr>
  </w:style>
  <w:style w:type="paragraph" w:styleId="SourceHead">
    <w:name w:val="Source Heading"/>
    <w:basedOn w:val="Normal"/>
    <w:next w:val="Normal"/>
    <w:pPr>
      <w:keepNext/>
      <w:spacing w:after="40" w:before="160"/>
    </w:pPr>
    <w:rPr>
      <w:rFonts w:ascii="Arial" w:cs="Arial" w:eastAsia="Arial" w:hAnsi="Arial"/>
      <w:b/>
      <w:bCs/>
      <w:caps/>
      <w:color w:val="576B7D"/>
      <w:spacing w:val="20"/>
      <w:sz w:val="15"/>
      <w:szCs w:val="15"/>
    </w:rPr>
  </w:style>
  <w:style w:type="paragraph" w:styleId="SourceText">
    <w:name w:val="Source Text"/>
    <w:basedOn w:val="Normal"/>
    <w:next w:val="Normal"/>
    <w:pPr>
      <w:spacing w:after="30"/>
    </w:pPr>
    <w:rPr>
      <w:rFonts w:ascii="Arial" w:cs="Arial" w:eastAsia="Arial" w:hAnsi="Arial"/>
      <w:color w:val="576B7D"/>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jfv0sukcb2r4hcvwzf8w" Type="http://schemas.openxmlformats.org/officeDocument/2006/relationships/hyperlink" Target="https://sugarai.com/" TargetMode="External"/><Relationship Id="rIdppy0zsmvlmtirhh-y2m_e" Type="http://schemas.openxmlformats.org/officeDocument/2006/relationships/hyperlink" Target="https://sugarai.com/press-releases/sugarcrm-unveils-new-brand-identity-as-sugarai-declaring-the-next-generation-of-cr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SugarAI for Field Service Management in the UAE | HLB HAMT</dc:title>
  <dc:creator>HLB HAMT</dc:creator>
  <dc:description>SugarAI for Field Service Management connects requests, scheduling, work orders and asset history in one CRM. Implemented by HLB HAMT across the UAE and GCC.</dc:description>
  <cp:lastModifiedBy>Un-named</cp:lastModifiedBy>
  <cp:revision>1</cp:revision>
  <dcterms:created xsi:type="dcterms:W3CDTF">2026-09-23T12:38:36.963Z</dcterms:created>
  <dcterms:modified xsi:type="dcterms:W3CDTF">2026-09-23T12:38:36.964Z</dcterms:modified>
</cp:coreProperties>
</file>

<file path=docProps/custom.xml><?xml version="1.0" encoding="utf-8"?>
<Properties xmlns="http://schemas.openxmlformats.org/officeDocument/2006/custom-properties" xmlns:vt="http://schemas.openxmlformats.org/officeDocument/2006/docPropsVTypes"/>
</file>