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E9488" w:sz="8" w:space="6"/>
        </w:pBdr>
        <w:spacing w:after="80"/>
        <w:jc w:val="center"/>
      </w:pPr>
      <w:r>
        <w:rPr>
          <w:rFonts w:ascii="Arial" w:cs="Arial" w:eastAsia="Arial" w:hAnsi="Arial"/>
          <w:b/>
          <w:bCs/>
          <w:sz w:val="40"/>
          <w:szCs w:val="40"/>
        </w:rPr>
        <w:t xml:space="preserve">SugarAI CRM - Field Service Management Sub-page</w:t>
      </w:r>
    </w:p>
    <w:p>
      <w:pPr>
        <w:spacing w:after="120" w:before="0"/>
      </w:pPr>
      <w:r>
        <w:rPr>
          <w:rFonts w:ascii="Arial" w:cs="Arial" w:eastAsia="Arial" w:hAnsi="Arial"/>
          <w:b/>
          <w:bCs/>
          <w:sz w:val="24"/>
          <w:szCs w:val="24"/>
        </w:rPr>
        <w:t xml:space="preserve">Page metadata &amp; SEO</w:t>
      </w:r>
    </w:p>
    <w:tbl>
      <w:tblPr>
        <w:tblW w:type="dxa" w:w="9936"/>
        <w:tblBorders>
          <w:top w:val="single" w:color="000000" w:sz="4"/>
          <w:left w:val="single" w:color="000000" w:sz="4"/>
          <w:bottom w:val="single" w:color="000000" w:sz="4"/>
          <w:right w:val="single" w:color="000000" w:sz="4"/>
          <w:insideH w:val="single" w:color="000000" w:sz="4"/>
          <w:insideV w:val="single" w:color="000000" w:sz="4"/>
        </w:tblBorders>
      </w:tblPr>
      <w:tblGrid>
        <w:gridCol w:w="3240"/>
        <w:gridCol w:w="6690"/>
      </w:tblGrid>
      <w:tr>
        <w:tc>
          <w:tcPr>
            <w:tcW w:type="dxa" w:w="3240"/>
            <w:shd w:fill="0A1F33" w:color="auto" w:val="clear"/>
          </w:tcPr>
          <w:p>
            <w:r>
              <w:rPr>
                <w:rFonts w:ascii="Arial" w:cs="Arial" w:eastAsia="Arial" w:hAnsi="Arial"/>
                <w:b/>
                <w:bCs/>
                <w:color w:val="FFFFFF"/>
                <w:sz w:val="19"/>
                <w:szCs w:val="19"/>
              </w:rPr>
              <w:t xml:space="preserve">Element</w:t>
            </w:r>
          </w:p>
        </w:tc>
        <w:tc>
          <w:tcPr>
            <w:tcW w:type="dxa" w:w="6690"/>
            <w:shd w:fill="0A1F33" w:color="auto" w:val="clear"/>
          </w:tcPr>
          <w:p>
            <w:r>
              <w:rPr>
                <w:rFonts w:ascii="Arial" w:cs="Arial" w:eastAsia="Arial" w:hAnsi="Arial"/>
                <w:b/>
                <w:bCs/>
                <w:color w:val="FFFFFF"/>
                <w:sz w:val="19"/>
                <w:szCs w:val="19"/>
              </w:rPr>
              <w:t xml:space="preserve">Content</w:t>
            </w:r>
          </w:p>
        </w:tc>
      </w:tr>
      <w:tr>
        <w:tc>
          <w:tcPr>
            <w:tcW w:type="dxa" w:w="3240"/>
          </w:tcPr>
          <w:p>
            <w:r>
              <w:rPr>
                <w:rFonts w:ascii="Arial" w:cs="Arial" w:eastAsia="Arial" w:hAnsi="Arial"/>
                <w:b w:val="false"/>
                <w:bCs w:val="false"/>
                <w:sz w:val="20"/>
                <w:szCs w:val="20"/>
              </w:rPr>
              <w:t xml:space="preserve">Page title</w:t>
            </w:r>
          </w:p>
        </w:tc>
        <w:tc>
          <w:tcPr>
            <w:tcW w:type="dxa" w:w="6690"/>
          </w:tcPr>
          <w:p>
            <w:r>
              <w:rPr>
                <w:rFonts w:ascii="Arial" w:cs="Arial" w:eastAsia="Arial" w:hAnsi="Arial"/>
                <w:b w:val="false"/>
                <w:bCs w:val="false"/>
                <w:sz w:val="20"/>
                <w:szCs w:val="20"/>
              </w:rPr>
              <w:t xml:space="preserve">SugarAI for Field Service Management in the UAE | HLB HAMT</w:t>
            </w:r>
          </w:p>
        </w:tc>
      </w:tr>
      <w:tr>
        <w:tc>
          <w:tcPr>
            <w:tcW w:type="dxa" w:w="3240"/>
          </w:tcPr>
          <w:p>
            <w:r>
              <w:rPr>
                <w:rFonts w:ascii="Arial" w:cs="Arial" w:eastAsia="Arial" w:hAnsi="Arial"/>
                <w:b w:val="false"/>
                <w:bCs w:val="false"/>
                <w:sz w:val="20"/>
                <w:szCs w:val="20"/>
              </w:rPr>
              <w:t xml:space="preserve">Meta description</w:t>
            </w:r>
          </w:p>
        </w:tc>
        <w:tc>
          <w:tcPr>
            <w:tcW w:type="dxa" w:w="6690"/>
          </w:tcPr>
          <w:p>
            <w:r>
              <w:rPr>
                <w:rFonts w:ascii="Arial" w:cs="Arial" w:eastAsia="Arial" w:hAnsi="Arial"/>
                <w:b w:val="false"/>
                <w:bCs w:val="false"/>
                <w:sz w:val="20"/>
                <w:szCs w:val="20"/>
              </w:rPr>
              <w:t xml:space="preserve">SugarAI for Field Service Management connects requests, scheduling, work orders and asset history in one CRM. Implemented by HLB HAMT across the UAE and GCC.</w:t>
            </w:r>
          </w:p>
        </w:tc>
      </w:tr>
      <w:tr>
        <w:tc>
          <w:tcPr>
            <w:tcW w:type="dxa" w:w="3240"/>
          </w:tcPr>
          <w:p>
            <w:r>
              <w:rPr>
                <w:rFonts w:ascii="Arial" w:cs="Arial" w:eastAsia="Arial" w:hAnsi="Arial"/>
                <w:b w:val="false"/>
                <w:bCs w:val="false"/>
                <w:sz w:val="20"/>
                <w:szCs w:val="20"/>
              </w:rPr>
              <w:t xml:space="preserve">Primary keyword</w:t>
            </w:r>
          </w:p>
        </w:tc>
        <w:tc>
          <w:tcPr>
            <w:tcW w:type="dxa" w:w="6690"/>
          </w:tcPr>
          <w:p>
            <w:r>
              <w:rPr>
                <w:rFonts w:ascii="Arial" w:cs="Arial" w:eastAsia="Arial" w:hAnsi="Arial"/>
                <w:b w:val="false"/>
                <w:bCs w:val="false"/>
                <w:sz w:val="20"/>
                <w:szCs w:val="20"/>
              </w:rPr>
              <w:t xml:space="preserve">SugarAI for Field Service Management</w:t>
            </w:r>
          </w:p>
        </w:tc>
      </w:tr>
      <w:tr>
        <w:tc>
          <w:tcPr>
            <w:tcW w:type="dxa" w:w="3240"/>
          </w:tcPr>
          <w:p>
            <w:r>
              <w:rPr>
                <w:rFonts w:ascii="Arial" w:cs="Arial" w:eastAsia="Arial" w:hAnsi="Arial"/>
                <w:b w:val="false"/>
                <w:bCs w:val="false"/>
                <w:sz w:val="20"/>
                <w:szCs w:val="20"/>
              </w:rPr>
              <w:t xml:space="preserve">Secondary keywords</w:t>
            </w:r>
          </w:p>
        </w:tc>
        <w:tc>
          <w:tcPr>
            <w:tcW w:type="dxa" w:w="6690"/>
          </w:tcPr>
          <w:p>
            <w:r>
              <w:rPr>
                <w:rFonts w:ascii="Arial" w:cs="Arial" w:eastAsia="Arial" w:hAnsi="Arial"/>
                <w:b w:val="false"/>
                <w:bCs w:val="false"/>
                <w:sz w:val="20"/>
                <w:szCs w:val="20"/>
              </w:rPr>
              <w:t xml:space="preserve">field service CRM software; field service automation; field service management in the UAE; technician scheduling software; work order management software; mobile field service management; field service asset management; SugarAI field service CRM; SugarAI CRM for field service; SugarCRM field service management</w:t>
            </w:r>
          </w:p>
        </w:tc>
      </w:tr>
    </w:tbl>
    <w:p>
      <w:pPr>
        <w:spacing w:after="120"/>
      </w:pPr>
    </w:p>
    <w:p>
      <w:pPr>
        <w:spacing w:after="120" w:before="320"/>
      </w:pPr>
      <w:r>
        <w:rPr>
          <w:rFonts w:ascii="Arial" w:cs="Arial" w:eastAsia="Arial" w:hAnsi="Arial"/>
          <w:b/>
          <w:bCs/>
          <w:color w:val="0A1F33"/>
          <w:sz w:val="28"/>
          <w:szCs w:val="28"/>
        </w:rPr>
        <w:t xml:space="preserve">1.  Hero</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Industries · Field Service Management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H1: </w:t>
      </w:r>
      <w:r>
        <w:rPr>
          <w:rFonts w:ascii="Arial" w:cs="Arial" w:eastAsia="Arial" w:hAnsi="Arial"/>
          <w:sz w:val="21"/>
          <w:szCs w:val="21"/>
        </w:rPr>
        <w:t xml:space="preserve">SugarAI for Field Service Management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paragraph: </w:t>
      </w:r>
      <w:r>
        <w:rPr>
          <w:rFonts w:ascii="Arial" w:cs="Arial" w:eastAsia="Arial" w:hAnsi="Arial"/>
          <w:sz w:val="21"/>
          <w:szCs w:val="21"/>
        </w:rPr>
        <w:t xml:space="preserve">SugarAI for Field Service Management gives your service desk, dispatchers and technicians one record of customer, site, equipment and contract, so jobs reach the right person and close with evidence attached. Whether it runs in the cloud or on your own servers, HLB HAMT configures it for service businesses throughout the UAE and GCC.</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Buttons: </w:t>
      </w:r>
      <w:r>
        <w:rPr>
          <w:rFonts w:ascii="Arial" w:cs="Arial" w:eastAsia="Arial" w:hAnsi="Arial"/>
          <w:sz w:val="21"/>
          <w:szCs w:val="21"/>
        </w:rPr>
        <w:t xml:space="preserve">1. Request a demo  2. Talk to our field service team</w:t>
      </w:r>
    </w:p>
    <w:p>
      <w:pPr>
        <w:spacing w:after="60" w:before="160"/>
      </w:pPr>
      <w:r>
        <w:rPr>
          <w:rFonts w:ascii="Arial" w:cs="Arial" w:eastAsia="Arial" w:hAnsi="Arial"/>
          <w:b/>
          <w:bCs/>
          <w:i/>
          <w:iCs/>
          <w:sz w:val="22"/>
          <w:szCs w:val="22"/>
        </w:rPr>
        <w:t xml:space="preserve">Hero side panel</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Heading: </w:t>
      </w:r>
      <w:r>
        <w:rPr>
          <w:rFonts w:ascii="Arial" w:cs="Arial" w:eastAsia="Arial" w:hAnsi="Arial"/>
          <w:sz w:val="21"/>
          <w:szCs w:val="21"/>
        </w:rPr>
        <w:t xml:space="preserve">Designed around the job, the technician and the asset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Sub-line: </w:t>
      </w:r>
      <w:r>
        <w:rPr>
          <w:rFonts w:ascii="Arial" w:cs="Arial" w:eastAsia="Arial" w:hAnsi="Arial"/>
          <w:sz w:val="21"/>
          <w:szCs w:val="21"/>
        </w:rPr>
        <w:t xml:space="preserve">Set up for annual maintenance contracts (AMCs), multi-site customers and mixed in-house and subcontracted crews.</w:t>
      </w:r>
    </w:p>
    <w:tbl>
      <w:tblPr>
        <w:tblW w:type="dxa" w:w="9936"/>
        <w:tblBorders>
          <w:top w:val="single" w:color="000000" w:sz="4"/>
          <w:left w:val="single" w:color="000000" w:sz="4"/>
          <w:bottom w:val="single" w:color="000000" w:sz="4"/>
          <w:right w:val="single" w:color="000000" w:sz="4"/>
          <w:insideH w:val="single" w:color="000000" w:sz="4"/>
          <w:insideV w:val="single" w:color="000000" w:sz="4"/>
        </w:tblBorders>
      </w:tblPr>
      <w:tblGrid>
        <w:gridCol w:w="4968"/>
        <w:gridCol w:w="4968"/>
      </w:tblGrid>
      <w:tr>
        <w:tc>
          <w:tcPr>
            <w:tcW w:type="dxa" w:w="4968"/>
            <w:shd w:fill="0A1F33" w:color="auto" w:val="clear"/>
          </w:tcPr>
          <w:p>
            <w:r>
              <w:rPr>
                <w:rFonts w:ascii="Arial" w:cs="Arial" w:eastAsia="Arial" w:hAnsi="Arial"/>
                <w:b/>
                <w:bCs/>
                <w:color w:val="FFFFFF"/>
                <w:sz w:val="19"/>
                <w:szCs w:val="19"/>
              </w:rPr>
              <w:t xml:space="preserve">Item</w:t>
            </w:r>
          </w:p>
        </w:tc>
        <w:tc>
          <w:tcPr>
            <w:tcW w:type="dxa" w:w="4968"/>
            <w:shd w:fill="0A1F33" w:color="auto" w:val="clear"/>
          </w:tcPr>
          <w:p>
            <w:r>
              <w:rPr>
                <w:rFonts w:ascii="Arial" w:cs="Arial" w:eastAsia="Arial" w:hAnsi="Arial"/>
                <w:b/>
                <w:bCs/>
                <w:color w:val="FFFFFF"/>
                <w:sz w:val="19"/>
                <w:szCs w:val="19"/>
              </w:rPr>
              <w:t xml:space="preserve">Copy</w:t>
            </w:r>
          </w:p>
        </w:tc>
      </w:tr>
      <w:tr>
        <w:tc>
          <w:tcPr>
            <w:tcW w:type="dxa" w:w="4968"/>
          </w:tcPr>
          <w:p>
            <w:r>
              <w:rPr>
                <w:rFonts w:ascii="Arial" w:cs="Arial" w:eastAsia="Arial" w:hAnsi="Arial"/>
                <w:b w:val="false"/>
                <w:bCs w:val="false"/>
                <w:sz w:val="20"/>
                <w:szCs w:val="20"/>
              </w:rPr>
              <w:t xml:space="preserve">Every job tied to its customer and asset</w:t>
            </w:r>
          </w:p>
        </w:tc>
        <w:tc>
          <w:tcPr>
            <w:tcW w:type="dxa" w:w="4968"/>
          </w:tcPr>
          <w:p>
            <w:r>
              <w:rPr>
                <w:rFonts w:ascii="Arial" w:cs="Arial" w:eastAsia="Arial" w:hAnsi="Arial"/>
                <w:b w:val="false"/>
                <w:bCs w:val="false"/>
                <w:sz w:val="20"/>
                <w:szCs w:val="20"/>
              </w:rPr>
              <w:t xml:space="preserve">The request, work order, asset history and contract share one record.</w:t>
            </w:r>
          </w:p>
        </w:tc>
      </w:tr>
      <w:tr>
        <w:tc>
          <w:tcPr>
            <w:tcW w:type="dxa" w:w="4968"/>
          </w:tcPr>
          <w:p>
            <w:r>
              <w:rPr>
                <w:rFonts w:ascii="Arial" w:cs="Arial" w:eastAsia="Arial" w:hAnsi="Arial"/>
                <w:b w:val="false"/>
                <w:bCs w:val="false"/>
                <w:sz w:val="20"/>
                <w:szCs w:val="20"/>
              </w:rPr>
              <w:t xml:space="preserve">Your crews and your subcontractors</w:t>
            </w:r>
          </w:p>
        </w:tc>
        <w:tc>
          <w:tcPr>
            <w:tcW w:type="dxa" w:w="4968"/>
          </w:tcPr>
          <w:p>
            <w:r>
              <w:rPr>
                <w:rFonts w:ascii="Arial" w:cs="Arial" w:eastAsia="Arial" w:hAnsi="Arial"/>
                <w:b w:val="false"/>
                <w:bCs w:val="false"/>
                <w:sz w:val="20"/>
                <w:szCs w:val="20"/>
              </w:rPr>
              <w:t xml:space="preserve">In-house and subcontracted crews are scheduled together, and the customer relationship stays yours.</w:t>
            </w:r>
          </w:p>
        </w:tc>
      </w:tr>
      <w:tr>
        <w:tc>
          <w:tcPr>
            <w:tcW w:type="dxa" w:w="4968"/>
          </w:tcPr>
          <w:p>
            <w:r>
              <w:rPr>
                <w:rFonts w:ascii="Arial" w:cs="Arial" w:eastAsia="Arial" w:hAnsi="Arial"/>
                <w:b w:val="false"/>
                <w:bCs w:val="false"/>
                <w:sz w:val="20"/>
                <w:szCs w:val="20"/>
              </w:rPr>
              <w:t xml:space="preserve">Planned maintenance that stays on the calendar</w:t>
            </w:r>
          </w:p>
        </w:tc>
        <w:tc>
          <w:tcPr>
            <w:tcW w:type="dxa" w:w="4968"/>
          </w:tcPr>
          <w:p>
            <w:r>
              <w:rPr>
                <w:rFonts w:ascii="Arial" w:cs="Arial" w:eastAsia="Arial" w:hAnsi="Arial"/>
                <w:b w:val="false"/>
                <w:bCs w:val="false"/>
                <w:sz w:val="20"/>
                <w:szCs w:val="20"/>
              </w:rPr>
              <w:t xml:space="preserve">Preventive visits are generated straight from each contract's schedule.</w:t>
            </w:r>
          </w:p>
        </w:tc>
      </w:tr>
    </w:tbl>
    <w:p>
      <w:pPr>
        <w:spacing w:after="120"/>
      </w:pPr>
    </w:p>
    <w:p>
      <w:pPr>
        <w:spacing w:after="120" w:before="320"/>
      </w:pPr>
      <w:r>
        <w:rPr>
          <w:rFonts w:ascii="Arial" w:cs="Arial" w:eastAsia="Arial" w:hAnsi="Arial"/>
          <w:b/>
          <w:bCs/>
          <w:color w:val="0A1F33"/>
          <w:sz w:val="28"/>
          <w:szCs w:val="28"/>
        </w:rPr>
        <w:t xml:space="preserve">2.  Why SugarAI</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Why SugarAI</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Why SugarAI earns its place in field operations</w:t>
      </w:r>
    </w:p>
    <w:p>
      <w:pPr>
        <w:spacing w:after="40" w:before="120"/>
      </w:pPr>
      <w:r>
        <w:rPr>
          <w:rFonts w:ascii="Arial" w:cs="Arial" w:eastAsia="Arial" w:hAnsi="Arial"/>
          <w:i/>
          <w:iCs/>
          <w:color w:val="555555"/>
          <w:sz w:val="20"/>
          <w:szCs w:val="20"/>
        </w:rPr>
        <w:t xml:space="preserve">Stat row:</w:t>
      </w:r>
    </w:p>
    <w:tbl>
      <w:tblPr>
        <w:tblW w:type="dxa" w:w="9936"/>
        <w:tblBorders>
          <w:top w:val="single" w:color="000000" w:sz="4"/>
          <w:left w:val="single" w:color="000000" w:sz="4"/>
          <w:bottom w:val="single" w:color="000000" w:sz="4"/>
          <w:right w:val="single" w:color="000000" w:sz="4"/>
          <w:insideH w:val="single" w:color="000000" w:sz="4"/>
          <w:insideV w:val="single" w:color="000000" w:sz="4"/>
        </w:tblBorders>
      </w:tblPr>
      <w:tblGrid>
        <w:gridCol w:w="1237"/>
        <w:gridCol w:w="3261"/>
        <w:gridCol w:w="5438"/>
      </w:tblGrid>
      <w:tr>
        <w:tc>
          <w:tcPr>
            <w:tcW w:type="dxa" w:w="1237"/>
            <w:shd w:fill="0A1F33" w:color="auto" w:val="clear"/>
          </w:tcPr>
          <w:p>
            <w:r>
              <w:rPr>
                <w:rFonts w:ascii="Arial" w:cs="Arial" w:eastAsia="Arial" w:hAnsi="Arial"/>
                <w:b/>
                <w:bCs/>
                <w:color w:val="FFFFFF"/>
                <w:sz w:val="19"/>
                <w:szCs w:val="19"/>
              </w:rPr>
              <w:t xml:space="preserve">Figure</w:t>
            </w:r>
          </w:p>
        </w:tc>
        <w:tc>
          <w:tcPr>
            <w:tcW w:type="dxa" w:w="3261"/>
            <w:shd w:fill="0A1F33" w:color="auto" w:val="clear"/>
          </w:tcPr>
          <w:p>
            <w:r>
              <w:rPr>
                <w:rFonts w:ascii="Arial" w:cs="Arial" w:eastAsia="Arial" w:hAnsi="Arial"/>
                <w:b/>
                <w:bCs/>
                <w:color w:val="FFFFFF"/>
                <w:sz w:val="19"/>
                <w:szCs w:val="19"/>
              </w:rPr>
              <w:t xml:space="preserve">Label</w:t>
            </w:r>
          </w:p>
        </w:tc>
        <w:tc>
          <w:tcPr>
            <w:tcW w:type="dxa" w:w="5438"/>
            <w:shd w:fill="0A1F33" w:color="auto" w:val="clear"/>
          </w:tcPr>
          <w:p>
            <w:r>
              <w:rPr>
                <w:rFonts w:ascii="Arial" w:cs="Arial" w:eastAsia="Arial" w:hAnsi="Arial"/>
                <w:b/>
                <w:bCs/>
                <w:color w:val="FFFFFF"/>
                <w:sz w:val="19"/>
                <w:szCs w:val="19"/>
              </w:rPr>
              <w:t xml:space="preserve">Description</w:t>
            </w:r>
          </w:p>
        </w:tc>
      </w:tr>
      <w:tr>
        <w:tc>
          <w:tcPr>
            <w:tcW w:type="dxa" w:w="1237"/>
          </w:tcPr>
          <w:p>
            <w:r>
              <w:rPr>
                <w:rFonts w:ascii="Arial" w:cs="Arial" w:eastAsia="Arial" w:hAnsi="Arial"/>
                <w:b w:val="false"/>
                <w:bCs w:val="false"/>
                <w:sz w:val="20"/>
                <w:szCs w:val="20"/>
              </w:rPr>
              <w:t xml:space="preserve">+23%</w:t>
            </w:r>
          </w:p>
        </w:tc>
        <w:tc>
          <w:tcPr>
            <w:tcW w:type="dxa" w:w="3261"/>
          </w:tcPr>
          <w:p>
            <w:r>
              <w:rPr>
                <w:rFonts w:ascii="Arial" w:cs="Arial" w:eastAsia="Arial" w:hAnsi="Arial"/>
                <w:b w:val="false"/>
                <w:bCs w:val="false"/>
                <w:sz w:val="20"/>
                <w:szCs w:val="20"/>
              </w:rPr>
              <w:t xml:space="preserve">Increased revenue</w:t>
            </w:r>
          </w:p>
        </w:tc>
        <w:tc>
          <w:tcPr>
            <w:tcW w:type="dxa" w:w="5438"/>
          </w:tcPr>
          <w:p>
            <w:r>
              <w:rPr>
                <w:rFonts w:ascii="Arial" w:cs="Arial" w:eastAsia="Arial" w:hAnsi="Arial"/>
                <w:b w:val="false"/>
                <w:bCs w:val="false"/>
                <w:sz w:val="20"/>
                <w:szCs w:val="20"/>
              </w:rPr>
              <w:t xml:space="preserve">Sugar Sell customers grew revenue by this margin. Configured for field service, Sugar Sell turns repairs spotted on site into quotes.</w:t>
            </w:r>
          </w:p>
        </w:tc>
      </w:tr>
      <w:tr>
        <w:tc>
          <w:tcPr>
            <w:tcW w:type="dxa" w:w="1237"/>
          </w:tcPr>
          <w:p>
            <w:r>
              <w:rPr>
                <w:rFonts w:ascii="Arial" w:cs="Arial" w:eastAsia="Arial" w:hAnsi="Arial"/>
                <w:b w:val="false"/>
                <w:bCs w:val="false"/>
                <w:sz w:val="20"/>
                <w:szCs w:val="20"/>
              </w:rPr>
              <w:t xml:space="preserve">+30%</w:t>
            </w:r>
          </w:p>
        </w:tc>
        <w:tc>
          <w:tcPr>
            <w:tcW w:type="dxa" w:w="3261"/>
          </w:tcPr>
          <w:p>
            <w:r>
              <w:rPr>
                <w:rFonts w:ascii="Arial" w:cs="Arial" w:eastAsia="Arial" w:hAnsi="Arial"/>
                <w:b w:val="false"/>
                <w:bCs w:val="false"/>
                <w:sz w:val="20"/>
                <w:szCs w:val="20"/>
              </w:rPr>
              <w:t xml:space="preserve">Improved win rate</w:t>
            </w:r>
          </w:p>
        </w:tc>
        <w:tc>
          <w:tcPr>
            <w:tcW w:type="dxa" w:w="5438"/>
          </w:tcPr>
          <w:p>
            <w:r>
              <w:rPr>
                <w:rFonts w:ascii="Arial" w:cs="Arial" w:eastAsia="Arial" w:hAnsi="Arial"/>
                <w:b w:val="false"/>
                <w:bCs w:val="false"/>
                <w:sz w:val="20"/>
                <w:szCs w:val="20"/>
              </w:rPr>
              <w:t xml:space="preserve">Win rates rose across that customer group. AMC and warranty proposals follow the same quote-to-close stages.</w:t>
            </w:r>
          </w:p>
        </w:tc>
      </w:tr>
      <w:tr>
        <w:tc>
          <w:tcPr>
            <w:tcW w:type="dxa" w:w="1237"/>
          </w:tcPr>
          <w:p>
            <w:r>
              <w:rPr>
                <w:rFonts w:ascii="Arial" w:cs="Arial" w:eastAsia="Arial" w:hAnsi="Arial"/>
                <w:b w:val="false"/>
                <w:bCs w:val="false"/>
                <w:sz w:val="20"/>
                <w:szCs w:val="20"/>
              </w:rPr>
              <w:t xml:space="preserve">3x</w:t>
            </w:r>
          </w:p>
        </w:tc>
        <w:tc>
          <w:tcPr>
            <w:tcW w:type="dxa" w:w="3261"/>
          </w:tcPr>
          <w:p>
            <w:r>
              <w:rPr>
                <w:rFonts w:ascii="Arial" w:cs="Arial" w:eastAsia="Arial" w:hAnsi="Arial"/>
                <w:b w:val="false"/>
                <w:bCs w:val="false"/>
                <w:sz w:val="20"/>
                <w:szCs w:val="20"/>
              </w:rPr>
              <w:t xml:space="preserve">Pipeline volume</w:t>
            </w:r>
          </w:p>
        </w:tc>
        <w:tc>
          <w:tcPr>
            <w:tcW w:type="dxa" w:w="5438"/>
          </w:tcPr>
          <w:p>
            <w:r>
              <w:rPr>
                <w:rFonts w:ascii="Arial" w:cs="Arial" w:eastAsia="Arial" w:hAnsi="Arial"/>
                <w:b w:val="false"/>
                <w:bCs w:val="false"/>
                <w:sz w:val="20"/>
                <w:szCs w:val="20"/>
              </w:rPr>
              <w:t xml:space="preserve">Pipelines tripled in volume for those customers. Contract renewals join the pipeline well before they fall due, alongside new business.</w:t>
            </w:r>
          </w:p>
        </w:tc>
      </w:tr>
    </w:tbl>
    <w:p>
      <w:pPr>
        <w:spacing w:after="120"/>
      </w:pPr>
    </w:p>
    <w:p>
      <w:pPr>
        <w:spacing w:after="120" w:before="320"/>
      </w:pPr>
      <w:r>
        <w:rPr>
          <w:rFonts w:ascii="Arial" w:cs="Arial" w:eastAsia="Arial" w:hAnsi="Arial"/>
          <w:b/>
          <w:bCs/>
          <w:color w:val="0A1F33"/>
          <w:sz w:val="28"/>
          <w:szCs w:val="28"/>
        </w:rPr>
        <w:t xml:space="preserve">3.  The platform</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The platform</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Service desk, sales and field teams on one customer record</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HLB HAMT delivers SugarAI for Field Service Management by configuring core SugarAI, with no bolt-on product. The Time-Aware Customer Data Platform beneath all SugarAI CRM solutions keeps every site and asset history in sequence.</w:t>
      </w:r>
    </w:p>
    <w:p>
      <w:pPr>
        <w:spacing w:after="40" w:before="120"/>
      </w:pPr>
      <w:r>
        <w:rPr>
          <w:rFonts w:ascii="Arial" w:cs="Arial" w:eastAsia="Arial" w:hAnsi="Arial"/>
          <w:i/>
          <w:iCs/>
          <w:color w:val="555555"/>
          <w:sz w:val="20"/>
          <w:szCs w:val="20"/>
        </w:rPr>
        <w:t xml:space="preserve">Four cards (tag / heading / copy):</w:t>
      </w:r>
    </w:p>
    <w:tbl>
      <w:tblPr>
        <w:tblW w:type="dxa" w:w="9936"/>
        <w:tblBorders>
          <w:top w:val="single" w:color="000000" w:sz="4"/>
          <w:left w:val="single" w:color="000000" w:sz="4"/>
          <w:bottom w:val="single" w:color="000000" w:sz="4"/>
          <w:right w:val="single" w:color="000000" w:sz="4"/>
          <w:insideH w:val="single" w:color="000000" w:sz="4"/>
          <w:insideV w:val="single" w:color="000000" w:sz="4"/>
        </w:tblBorders>
      </w:tblPr>
      <w:tblGrid>
        <w:gridCol w:w="2230"/>
        <w:gridCol w:w="2126"/>
        <w:gridCol w:w="5580"/>
      </w:tblGrid>
      <w:tr>
        <w:tc>
          <w:tcPr>
            <w:tcW w:type="dxa" w:w="2230"/>
            <w:shd w:fill="0A1F33" w:color="auto" w:val="clear"/>
          </w:tcPr>
          <w:p>
            <w:r>
              <w:rPr>
                <w:rFonts w:ascii="Arial" w:cs="Arial" w:eastAsia="Arial" w:hAnsi="Arial"/>
                <w:b/>
                <w:bCs/>
                <w:color w:val="FFFFFF"/>
                <w:sz w:val="19"/>
                <w:szCs w:val="19"/>
              </w:rPr>
              <w:t xml:space="preserve">Tag</w:t>
            </w:r>
          </w:p>
        </w:tc>
        <w:tc>
          <w:tcPr>
            <w:tcW w:type="dxa" w:w="2126"/>
            <w:shd w:fill="0A1F33" w:color="auto" w:val="clear"/>
          </w:tcPr>
          <w:p>
            <w:r>
              <w:rPr>
                <w:rFonts w:ascii="Arial" w:cs="Arial" w:eastAsia="Arial" w:hAnsi="Arial"/>
                <w:b/>
                <w:bCs/>
                <w:color w:val="FFFFFF"/>
                <w:sz w:val="19"/>
                <w:szCs w:val="19"/>
              </w:rPr>
              <w:t xml:space="preserve">Heading</w:t>
            </w:r>
          </w:p>
        </w:tc>
        <w:tc>
          <w:tcPr>
            <w:tcW w:type="dxa" w:w="5580"/>
            <w:shd w:fill="0A1F33" w:color="auto" w:val="clear"/>
          </w:tcPr>
          <w:p>
            <w:r>
              <w:rPr>
                <w:rFonts w:ascii="Arial" w:cs="Arial" w:eastAsia="Arial" w:hAnsi="Arial"/>
                <w:b/>
                <w:bCs/>
                <w:color w:val="FFFFFF"/>
                <w:sz w:val="19"/>
                <w:szCs w:val="19"/>
              </w:rPr>
              <w:t xml:space="preserve">Copy</w:t>
            </w:r>
          </w:p>
        </w:tc>
      </w:tr>
      <w:tr>
        <w:tc>
          <w:tcPr>
            <w:tcW w:type="dxa" w:w="2230"/>
          </w:tcPr>
          <w:p>
            <w:r>
              <w:rPr>
                <w:rFonts w:ascii="Arial" w:cs="Arial" w:eastAsia="Arial" w:hAnsi="Arial"/>
                <w:b w:val="false"/>
                <w:bCs w:val="false"/>
                <w:sz w:val="20"/>
                <w:szCs w:val="20"/>
              </w:rPr>
              <w:t xml:space="preserve">Sugar Serve</w:t>
            </w:r>
          </w:p>
        </w:tc>
        <w:tc>
          <w:tcPr>
            <w:tcW w:type="dxa" w:w="2126"/>
          </w:tcPr>
          <w:p>
            <w:r>
              <w:rPr>
                <w:rFonts w:ascii="Arial" w:cs="Arial" w:eastAsia="Arial" w:hAnsi="Arial"/>
                <w:b w:val="false"/>
                <w:bCs w:val="false"/>
                <w:sz w:val="20"/>
                <w:szCs w:val="20"/>
              </w:rPr>
              <w:t xml:space="preserve">Cases, work orders and SLA timers</w:t>
            </w:r>
          </w:p>
        </w:tc>
        <w:tc>
          <w:tcPr>
            <w:tcW w:type="dxa" w:w="5580"/>
          </w:tcPr>
          <w:p>
            <w:r>
              <w:rPr>
                <w:rFonts w:ascii="Arial" w:cs="Arial" w:eastAsia="Arial" w:hAnsi="Arial"/>
                <w:b w:val="false"/>
                <w:bCs w:val="false"/>
                <w:sz w:val="20"/>
                <w:szCs w:val="20"/>
              </w:rPr>
              <w:t xml:space="preserve">Phone, email, portal and messaging requests become cases, then work orders timed against contract SLAs.</w:t>
            </w:r>
          </w:p>
        </w:tc>
      </w:tr>
      <w:tr>
        <w:tc>
          <w:tcPr>
            <w:tcW w:type="dxa" w:w="2230"/>
          </w:tcPr>
          <w:p>
            <w:r>
              <w:rPr>
                <w:rFonts w:ascii="Arial" w:cs="Arial" w:eastAsia="Arial" w:hAnsi="Arial"/>
                <w:b w:val="false"/>
                <w:bCs w:val="false"/>
                <w:sz w:val="20"/>
                <w:szCs w:val="20"/>
              </w:rPr>
              <w:t xml:space="preserve">Sugar Sell</w:t>
            </w:r>
          </w:p>
        </w:tc>
        <w:tc>
          <w:tcPr>
            <w:tcW w:type="dxa" w:w="2126"/>
          </w:tcPr>
          <w:p>
            <w:r>
              <w:rPr>
                <w:rFonts w:ascii="Arial" w:cs="Arial" w:eastAsia="Arial" w:hAnsi="Arial"/>
                <w:b w:val="false"/>
                <w:bCs w:val="false"/>
                <w:sz w:val="20"/>
                <w:szCs w:val="20"/>
              </w:rPr>
              <w:t xml:space="preserve">Service contracts, quotes and upsell</w:t>
            </w:r>
          </w:p>
        </w:tc>
        <w:tc>
          <w:tcPr>
            <w:tcW w:type="dxa" w:w="5580"/>
          </w:tcPr>
          <w:p>
            <w:r>
              <w:rPr>
                <w:rFonts w:ascii="Arial" w:cs="Arial" w:eastAsia="Arial" w:hAnsi="Arial"/>
                <w:b w:val="false"/>
                <w:bCs w:val="false"/>
                <w:sz w:val="20"/>
                <w:szCs w:val="20"/>
              </w:rPr>
              <w:t xml:space="preserve">AMC and warranty contracts, repair quotes and upsell from technician findings, in one pipeline.</w:t>
            </w:r>
          </w:p>
        </w:tc>
      </w:tr>
      <w:tr>
        <w:tc>
          <w:tcPr>
            <w:tcW w:type="dxa" w:w="2230"/>
          </w:tcPr>
          <w:p>
            <w:r>
              <w:rPr>
                <w:rFonts w:ascii="Arial" w:cs="Arial" w:eastAsia="Arial" w:hAnsi="Arial"/>
                <w:b w:val="false"/>
                <w:bCs w:val="false"/>
                <w:sz w:val="20"/>
                <w:szCs w:val="20"/>
              </w:rPr>
              <w:t xml:space="preserve">Sugar Market</w:t>
            </w:r>
          </w:p>
        </w:tc>
        <w:tc>
          <w:tcPr>
            <w:tcW w:type="dxa" w:w="2126"/>
          </w:tcPr>
          <w:p>
            <w:r>
              <w:rPr>
                <w:rFonts w:ascii="Arial" w:cs="Arial" w:eastAsia="Arial" w:hAnsi="Arial"/>
                <w:b w:val="false"/>
                <w:bCs w:val="false"/>
                <w:sz w:val="20"/>
                <w:szCs w:val="20"/>
              </w:rPr>
              <w:t xml:space="preserve">Maintenance reminders and service campaigns</w:t>
            </w:r>
          </w:p>
        </w:tc>
        <w:tc>
          <w:tcPr>
            <w:tcW w:type="dxa" w:w="5580"/>
          </w:tcPr>
          <w:p>
            <w:r>
              <w:rPr>
                <w:rFonts w:ascii="Arial" w:cs="Arial" w:eastAsia="Arial" w:hAnsi="Arial"/>
                <w:b w:val="false"/>
                <w:bCs w:val="false"/>
                <w:sz w:val="20"/>
                <w:szCs w:val="20"/>
              </w:rPr>
              <w:t xml:space="preserve">Reminders for visits falling due, renewal nurture, and campaigns targeted by equipment type or age.</w:t>
            </w:r>
          </w:p>
        </w:tc>
      </w:tr>
      <w:tr>
        <w:tc>
          <w:tcPr>
            <w:tcW w:type="dxa" w:w="2230"/>
          </w:tcPr>
          <w:p>
            <w:r>
              <w:rPr>
                <w:rFonts w:ascii="Arial" w:cs="Arial" w:eastAsia="Arial" w:hAnsi="Arial"/>
                <w:b w:val="false"/>
                <w:bCs w:val="false"/>
                <w:sz w:val="20"/>
                <w:szCs w:val="20"/>
              </w:rPr>
              <w:t xml:space="preserve">SugarAI Predict</w:t>
            </w:r>
          </w:p>
        </w:tc>
        <w:tc>
          <w:tcPr>
            <w:tcW w:type="dxa" w:w="2126"/>
          </w:tcPr>
          <w:p>
            <w:r>
              <w:rPr>
                <w:rFonts w:ascii="Arial" w:cs="Arial" w:eastAsia="Arial" w:hAnsi="Arial"/>
                <w:b w:val="false"/>
                <w:bCs w:val="false"/>
                <w:sz w:val="20"/>
                <w:szCs w:val="20"/>
              </w:rPr>
              <w:t xml:space="preserve">Renewal and churn signals on service accounts</w:t>
            </w:r>
          </w:p>
        </w:tc>
        <w:tc>
          <w:tcPr>
            <w:tcW w:type="dxa" w:w="5580"/>
          </w:tcPr>
          <w:p>
            <w:r>
              <w:rPr>
                <w:rFonts w:ascii="Arial" w:cs="Arial" w:eastAsia="Arial" w:hAnsi="Arial"/>
                <w:b w:val="false"/>
                <w:bCs w:val="false"/>
                <w:sz w:val="20"/>
                <w:szCs w:val="20"/>
              </w:rPr>
              <w:t xml:space="preserve">AI flags accounts with falling satisfaction or lapsing contracts and suggests the next step.</w:t>
            </w:r>
          </w:p>
        </w:tc>
      </w:tr>
    </w:tbl>
    <w:p>
      <w:pPr>
        <w:spacing w:after="120"/>
      </w:pPr>
    </w:p>
    <w:p>
      <w:pPr>
        <w:spacing w:after="120" w:before="320"/>
      </w:pPr>
      <w:r>
        <w:rPr>
          <w:rFonts w:ascii="Arial" w:cs="Arial" w:eastAsia="Arial" w:hAnsi="Arial"/>
          <w:b/>
          <w:bCs/>
          <w:color w:val="0A1F33"/>
          <w:sz w:val="28"/>
          <w:szCs w:val="28"/>
        </w:rPr>
        <w:t xml:space="preserve">4.  Benefits</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Benefits</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Six field service capabilities SugarAI brings to your operation</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In SugarAI for Field Service Management, these six capabilities carry each job from the first request to the customer's sign-off.</w:t>
      </w:r>
    </w:p>
    <w:p>
      <w:pPr>
        <w:spacing w:after="40" w:before="120"/>
      </w:pPr>
      <w:r>
        <w:rPr>
          <w:rFonts w:ascii="Arial" w:cs="Arial" w:eastAsia="Arial" w:hAnsi="Arial"/>
          <w:i/>
          <w:iCs/>
          <w:color w:val="555555"/>
          <w:sz w:val="20"/>
          <w:szCs w:val="20"/>
        </w:rPr>
        <w:t xml:space="preserve">Six cards (heading / copy):</w:t>
      </w:r>
    </w:p>
    <w:p>
      <w:pPr>
        <w:spacing w:after="120"/>
        <w:ind w:left="216"/>
      </w:pPr>
      <w:r>
        <w:rPr>
          <w:rFonts w:ascii="Arial" w:cs="Arial" w:eastAsia="Arial" w:hAnsi="Arial"/>
          <w:b/>
          <w:bCs/>
          <w:sz w:val="21"/>
          <w:szCs w:val="21"/>
        </w:rPr>
        <w:t xml:space="preserve">1.  Customer, site and equipment history in one view</w:t>
      </w:r>
      <w:r>
        <w:rPr>
          <w:rFonts w:ascii="Arial" w:cs="Arial" w:eastAsia="Arial" w:hAnsi="Arial"/>
          <w:color w:val="555555"/>
          <w:sz w:val="21"/>
          <w:szCs w:val="21"/>
        </w:rPr>
        <w:t xml:space="preserve">  -  </w:t>
      </w:r>
      <w:r>
        <w:rPr>
          <w:rFonts w:ascii="Arial" w:cs="Arial" w:eastAsia="Arial" w:hAnsi="Arial"/>
          <w:color w:val="555555"/>
          <w:sz w:val="21"/>
          <w:szCs w:val="21"/>
        </w:rPr>
        <w:t xml:space="preserve">The desk, dispatcher and technician see each customer's sites, installed equipment (serial, model, warranty), contracts, past visits and open cases.</w:t>
      </w:r>
    </w:p>
    <w:p>
      <w:pPr>
        <w:spacing w:after="120"/>
        <w:ind w:left="216"/>
      </w:pPr>
      <w:r>
        <w:rPr>
          <w:rFonts w:ascii="Arial" w:cs="Arial" w:eastAsia="Arial" w:hAnsi="Arial"/>
          <w:b/>
          <w:bCs/>
          <w:sz w:val="21"/>
          <w:szCs w:val="21"/>
        </w:rPr>
        <w:t xml:space="preserve">2.  Dynamic job sheets and inspection checklists</w:t>
      </w:r>
      <w:r>
        <w:rPr>
          <w:rFonts w:ascii="Arial" w:cs="Arial" w:eastAsia="Arial" w:hAnsi="Arial"/>
          <w:color w:val="555555"/>
          <w:sz w:val="21"/>
          <w:szCs w:val="21"/>
        </w:rPr>
        <w:t xml:space="preserve">  -  </w:t>
      </w:r>
      <w:r>
        <w:rPr>
          <w:rFonts w:ascii="Arial" w:cs="Arial" w:eastAsia="Arial" w:hAnsi="Arial"/>
          <w:color w:val="555555"/>
          <w:sz w:val="21"/>
          <w:szCs w:val="21"/>
        </w:rPr>
        <w:t xml:space="preserve">Job sheets adapt to the job type and asset, from maintenance checklists to breakdown diagnosis, and capture photos, readings and signatures.</w:t>
      </w:r>
    </w:p>
    <w:p>
      <w:pPr>
        <w:spacing w:after="120"/>
        <w:ind w:left="216"/>
      </w:pPr>
      <w:r>
        <w:rPr>
          <w:rFonts w:ascii="Arial" w:cs="Arial" w:eastAsia="Arial" w:hAnsi="Arial"/>
          <w:b/>
          <w:bCs/>
          <w:sz w:val="21"/>
          <w:szCs w:val="21"/>
        </w:rPr>
        <w:t xml:space="preserve">3.  Technician, crew and subcontractor management</w:t>
      </w:r>
      <w:r>
        <w:rPr>
          <w:rFonts w:ascii="Arial" w:cs="Arial" w:eastAsia="Arial" w:hAnsi="Arial"/>
          <w:color w:val="555555"/>
          <w:sz w:val="21"/>
          <w:szCs w:val="21"/>
        </w:rPr>
        <w:t xml:space="preserve">  -  </w:t>
      </w:r>
      <w:r>
        <w:rPr>
          <w:rFonts w:ascii="Arial" w:cs="Arial" w:eastAsia="Arial" w:hAnsi="Arial"/>
          <w:color w:val="555555"/>
          <w:sz w:val="21"/>
          <w:szCs w:val="21"/>
        </w:rPr>
        <w:t xml:space="preserve">Each technician and subcontractor record holds skills, certifications, zone and availability; subcontracted jobs follow the in-house standard.</w:t>
      </w:r>
    </w:p>
    <w:p>
      <w:pPr>
        <w:spacing w:after="120"/>
        <w:ind w:left="216"/>
      </w:pPr>
      <w:r>
        <w:rPr>
          <w:rFonts w:ascii="Arial" w:cs="Arial" w:eastAsia="Arial" w:hAnsi="Arial"/>
          <w:b/>
          <w:bCs/>
          <w:sz w:val="21"/>
          <w:szCs w:val="21"/>
        </w:rPr>
        <w:t xml:space="preserve">4.  Work order tracking against contract SLAs</w:t>
      </w:r>
      <w:r>
        <w:rPr>
          <w:rFonts w:ascii="Arial" w:cs="Arial" w:eastAsia="Arial" w:hAnsi="Arial"/>
          <w:color w:val="555555"/>
          <w:sz w:val="21"/>
          <w:szCs w:val="21"/>
        </w:rPr>
        <w:t xml:space="preserve">  -  </w:t>
      </w:r>
      <w:r>
        <w:rPr>
          <w:rFonts w:ascii="Arial" w:cs="Arial" w:eastAsia="Arial" w:hAnsi="Arial"/>
          <w:color w:val="555555"/>
          <w:sz w:val="21"/>
          <w:szCs w:val="21"/>
        </w:rPr>
        <w:t xml:space="preserve">Each work order counts down to the contract's response and resolution times, and jobs at risk escalate before a breach.</w:t>
      </w:r>
    </w:p>
    <w:p>
      <w:pPr>
        <w:spacing w:after="120"/>
        <w:ind w:left="216"/>
      </w:pPr>
      <w:r>
        <w:rPr>
          <w:rFonts w:ascii="Arial" w:cs="Arial" w:eastAsia="Arial" w:hAnsi="Arial"/>
          <w:b/>
          <w:bCs/>
          <w:sz w:val="21"/>
          <w:szCs w:val="21"/>
        </w:rPr>
        <w:t xml:space="preserve">5.  Rules-based assignment and approvals</w:t>
      </w:r>
      <w:r>
        <w:rPr>
          <w:rFonts w:ascii="Arial" w:cs="Arial" w:eastAsia="Arial" w:hAnsi="Arial"/>
          <w:color w:val="555555"/>
          <w:sz w:val="21"/>
          <w:szCs w:val="21"/>
        </w:rPr>
        <w:t xml:space="preserve">  -  </w:t>
      </w:r>
      <w:r>
        <w:rPr>
          <w:rFonts w:ascii="Arial" w:cs="Arial" w:eastAsia="Arial" w:hAnsi="Arial"/>
          <w:color w:val="555555"/>
          <w:sz w:val="21"/>
          <w:szCs w:val="21"/>
        </w:rPr>
        <w:t xml:space="preserve">Rules allocate jobs by skill, zone, priority and SLA: the assignment work many teams buy technician scheduling software for. Administrators edit approval rules without code.</w:t>
      </w:r>
    </w:p>
    <w:p>
      <w:pPr>
        <w:spacing w:after="120"/>
        <w:ind w:left="216"/>
      </w:pPr>
      <w:r>
        <w:rPr>
          <w:rFonts w:ascii="Arial" w:cs="Arial" w:eastAsia="Arial" w:hAnsi="Arial"/>
          <w:b/>
          <w:bCs/>
          <w:sz w:val="21"/>
          <w:szCs w:val="21"/>
        </w:rPr>
        <w:t xml:space="preserve">6.  Asset lifecycle and contract renewals</w:t>
      </w:r>
      <w:r>
        <w:rPr>
          <w:rFonts w:ascii="Arial" w:cs="Arial" w:eastAsia="Arial" w:hAnsi="Arial"/>
          <w:color w:val="555555"/>
          <w:sz w:val="21"/>
          <w:szCs w:val="21"/>
        </w:rPr>
        <w:t xml:space="preserve">  -  </w:t>
      </w:r>
      <w:r>
        <w:rPr>
          <w:rFonts w:ascii="Arial" w:cs="Arial" w:eastAsia="Arial" w:hAnsi="Arial"/>
          <w:color w:val="555555"/>
          <w:sz w:val="21"/>
          <w:szCs w:val="21"/>
        </w:rPr>
        <w:t xml:space="preserve">Contracts drive field service asset management: preventive maintenance is scheduled from them, warranty and AMC renewals surface early, and repeat faults are traced per asset.</w:t>
      </w:r>
    </w:p>
    <w:p>
      <w:pPr>
        <w:spacing w:after="120"/>
      </w:pPr>
    </w:p>
    <w:p>
      <w:pPr>
        <w:spacing w:after="120" w:before="320"/>
      </w:pPr>
      <w:r>
        <w:rPr>
          <w:rFonts w:ascii="Arial" w:cs="Arial" w:eastAsia="Arial" w:hAnsi="Arial"/>
          <w:b/>
          <w:bCs/>
          <w:color w:val="0A1F33"/>
          <w:sz w:val="28"/>
          <w:szCs w:val="28"/>
        </w:rPr>
        <w:t xml:space="preserve">5.  What we can do for you</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Our capabilities</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What we can do for you</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One HLB HAMT team takes you from design to the screens technicians use each morning.</w:t>
      </w:r>
    </w:p>
    <w:tbl>
      <w:tblPr>
        <w:tblW w:type="dxa" w:w="9936"/>
        <w:tblBorders>
          <w:top w:val="single" w:color="000000" w:sz="4"/>
          <w:left w:val="single" w:color="000000" w:sz="4"/>
          <w:bottom w:val="single" w:color="000000" w:sz="4"/>
          <w:right w:val="single" w:color="000000" w:sz="4"/>
          <w:insideH w:val="single" w:color="000000" w:sz="4"/>
          <w:insideV w:val="single" w:color="000000" w:sz="4"/>
        </w:tblBorders>
      </w:tblPr>
      <w:tblGrid>
        <w:gridCol w:w="1020"/>
        <w:gridCol w:w="4080"/>
        <w:gridCol w:w="4845"/>
      </w:tblGrid>
      <w:tr>
        <w:tc>
          <w:tcPr>
            <w:tcW w:type="dxa" w:w="1020"/>
            <w:shd w:fill="0A1F33" w:color="auto" w:val="clear"/>
          </w:tcPr>
          <w:p>
            <w:r>
              <w:rPr>
                <w:rFonts w:ascii="Arial" w:cs="Arial" w:eastAsia="Arial" w:hAnsi="Arial"/>
                <w:b/>
                <w:bCs/>
                <w:color w:val="FFFFFF"/>
                <w:sz w:val="19"/>
                <w:szCs w:val="19"/>
              </w:rPr>
              <w:t xml:space="preserve"/>
            </w:r>
          </w:p>
        </w:tc>
        <w:tc>
          <w:tcPr>
            <w:tcW w:type="dxa" w:w="4080"/>
            <w:shd w:fill="0A1F33" w:color="auto" w:val="clear"/>
          </w:tcPr>
          <w:p>
            <w:r>
              <w:rPr>
                <w:rFonts w:ascii="Arial" w:cs="Arial" w:eastAsia="Arial" w:hAnsi="Arial"/>
                <w:b/>
                <w:bCs/>
                <w:color w:val="FFFFFF"/>
                <w:sz w:val="19"/>
                <w:szCs w:val="19"/>
              </w:rPr>
              <w:t xml:space="preserve">Heading</w:t>
            </w:r>
          </w:p>
        </w:tc>
        <w:tc>
          <w:tcPr>
            <w:tcW w:type="dxa" w:w="4845"/>
            <w:shd w:fill="0A1F33" w:color="auto" w:val="clear"/>
          </w:tcPr>
          <w:p>
            <w:r>
              <w:rPr>
                <w:rFonts w:ascii="Arial" w:cs="Arial" w:eastAsia="Arial" w:hAnsi="Arial"/>
                <w:b/>
                <w:bCs/>
                <w:color w:val="FFFFFF"/>
                <w:sz w:val="19"/>
                <w:szCs w:val="19"/>
              </w:rPr>
              <w:t xml:space="preserve">Copy</w:t>
            </w:r>
          </w:p>
        </w:tc>
      </w:tr>
      <w:tr>
        <w:tc>
          <w:tcPr>
            <w:tcW w:type="dxa" w:w="1020"/>
          </w:tcPr>
          <w:p>
            <w:r>
              <w:rPr>
                <w:rFonts w:ascii="Arial" w:cs="Arial" w:eastAsia="Arial" w:hAnsi="Arial"/>
                <w:b w:val="false"/>
                <w:bCs w:val="false"/>
                <w:sz w:val="20"/>
                <w:szCs w:val="20"/>
              </w:rPr>
              <w:t xml:space="preserve">1</w:t>
            </w:r>
          </w:p>
        </w:tc>
        <w:tc>
          <w:tcPr>
            <w:tcW w:type="dxa" w:w="4080"/>
          </w:tcPr>
          <w:p>
            <w:r>
              <w:rPr>
                <w:rFonts w:ascii="Arial" w:cs="Arial" w:eastAsia="Arial" w:hAnsi="Arial"/>
                <w:b w:val="false"/>
                <w:bCs w:val="false"/>
                <w:sz w:val="20"/>
                <w:szCs w:val="20"/>
              </w:rPr>
              <w:t xml:space="preserve">SugarAI field service implementation</w:t>
            </w:r>
          </w:p>
        </w:tc>
        <w:tc>
          <w:tcPr>
            <w:tcW w:type="dxa" w:w="4845"/>
          </w:tcPr>
          <w:p>
            <w:r>
              <w:rPr>
                <w:rFonts w:ascii="Arial" w:cs="Arial" w:eastAsia="Arial" w:hAnsi="Arial"/>
                <w:b w:val="false"/>
                <w:bCs w:val="false"/>
                <w:sz w:val="20"/>
                <w:szCs w:val="20"/>
              </w:rPr>
              <w:t xml:space="preserve">We configure the SugarAI field service CRM around your request-to-invoice cycle, from a ready-made blueprint.</w:t>
            </w:r>
          </w:p>
        </w:tc>
      </w:tr>
      <w:tr>
        <w:tc>
          <w:tcPr>
            <w:tcW w:type="dxa" w:w="1020"/>
          </w:tcPr>
          <w:p>
            <w:r>
              <w:rPr>
                <w:rFonts w:ascii="Arial" w:cs="Arial" w:eastAsia="Arial" w:hAnsi="Arial"/>
                <w:b w:val="false"/>
                <w:bCs w:val="false"/>
                <w:sz w:val="20"/>
                <w:szCs w:val="20"/>
              </w:rPr>
              <w:t xml:space="preserve">2</w:t>
            </w:r>
          </w:p>
        </w:tc>
        <w:tc>
          <w:tcPr>
            <w:tcW w:type="dxa" w:w="4080"/>
          </w:tcPr>
          <w:p>
            <w:r>
              <w:rPr>
                <w:rFonts w:ascii="Arial" w:cs="Arial" w:eastAsia="Arial" w:hAnsi="Arial"/>
                <w:b w:val="false"/>
                <w:bCs w:val="false"/>
                <w:sz w:val="20"/>
                <w:szCs w:val="20"/>
              </w:rPr>
              <w:t xml:space="preserve">Job types, checklists and dynamic forms</w:t>
            </w:r>
          </w:p>
        </w:tc>
        <w:tc>
          <w:tcPr>
            <w:tcW w:type="dxa" w:w="4845"/>
          </w:tcPr>
          <w:p>
            <w:r>
              <w:rPr>
                <w:rFonts w:ascii="Arial" w:cs="Arial" w:eastAsia="Arial" w:hAnsi="Arial"/>
                <w:b w:val="false"/>
                <w:bCs w:val="false"/>
                <w:sz w:val="20"/>
                <w:szCs w:val="20"/>
              </w:rPr>
              <w:t xml:space="preserve">A job type catalogue with durations, required skills and checklist templates per asset class.</w:t>
            </w:r>
          </w:p>
        </w:tc>
      </w:tr>
      <w:tr>
        <w:tc>
          <w:tcPr>
            <w:tcW w:type="dxa" w:w="1020"/>
          </w:tcPr>
          <w:p>
            <w:r>
              <w:rPr>
                <w:rFonts w:ascii="Arial" w:cs="Arial" w:eastAsia="Arial" w:hAnsi="Arial"/>
                <w:b w:val="false"/>
                <w:bCs w:val="false"/>
                <w:sz w:val="20"/>
                <w:szCs w:val="20"/>
              </w:rPr>
              <w:t xml:space="preserve">3</w:t>
            </w:r>
          </w:p>
        </w:tc>
        <w:tc>
          <w:tcPr>
            <w:tcW w:type="dxa" w:w="4080"/>
          </w:tcPr>
          <w:p>
            <w:r>
              <w:rPr>
                <w:rFonts w:ascii="Arial" w:cs="Arial" w:eastAsia="Arial" w:hAnsi="Arial"/>
                <w:b w:val="false"/>
                <w:bCs w:val="false"/>
                <w:sz w:val="20"/>
                <w:szCs w:val="20"/>
              </w:rPr>
              <w:t xml:space="preserve">Customer and subcontractor portals</w:t>
            </w:r>
          </w:p>
        </w:tc>
        <w:tc>
          <w:tcPr>
            <w:tcW w:type="dxa" w:w="4845"/>
          </w:tcPr>
          <w:p>
            <w:r>
              <w:rPr>
                <w:rFonts w:ascii="Arial" w:cs="Arial" w:eastAsia="Arial" w:hAnsi="Arial"/>
                <w:b w:val="false"/>
                <w:bCs w:val="false"/>
                <w:sz w:val="20"/>
                <w:szCs w:val="20"/>
              </w:rPr>
              <w:t xml:space="preserve">Customers log and track requests online, and subcontractors accept and close their jobs.</w:t>
            </w:r>
          </w:p>
        </w:tc>
      </w:tr>
      <w:tr>
        <w:tc>
          <w:tcPr>
            <w:tcW w:type="dxa" w:w="1020"/>
          </w:tcPr>
          <w:p>
            <w:r>
              <w:rPr>
                <w:rFonts w:ascii="Arial" w:cs="Arial" w:eastAsia="Arial" w:hAnsi="Arial"/>
                <w:b w:val="false"/>
                <w:bCs w:val="false"/>
                <w:sz w:val="20"/>
                <w:szCs w:val="20"/>
              </w:rPr>
              <w:t xml:space="preserve">4</w:t>
            </w:r>
          </w:p>
        </w:tc>
        <w:tc>
          <w:tcPr>
            <w:tcW w:type="dxa" w:w="4080"/>
          </w:tcPr>
          <w:p>
            <w:r>
              <w:rPr>
                <w:rFonts w:ascii="Arial" w:cs="Arial" w:eastAsia="Arial" w:hAnsi="Arial"/>
                <w:b w:val="false"/>
                <w:bCs w:val="false"/>
                <w:sz w:val="20"/>
                <w:szCs w:val="20"/>
              </w:rPr>
              <w:t xml:space="preserve">ERP, inventory and billing integration</w:t>
            </w:r>
          </w:p>
        </w:tc>
        <w:tc>
          <w:tcPr>
            <w:tcW w:type="dxa" w:w="4845"/>
          </w:tcPr>
          <w:p>
            <w:r>
              <w:rPr>
                <w:rFonts w:ascii="Arial" w:cs="Arial" w:eastAsia="Arial" w:hAnsi="Arial"/>
                <w:b w:val="false"/>
                <w:bCs w:val="false"/>
                <w:sz w:val="20"/>
                <w:szCs w:val="20"/>
              </w:rPr>
              <w:t xml:space="preserve">SugarAI reads parts, prices and stock from your ERP and hands closed work orders back for invoicing.</w:t>
            </w:r>
          </w:p>
        </w:tc>
      </w:tr>
      <w:tr>
        <w:tc>
          <w:tcPr>
            <w:tcW w:type="dxa" w:w="1020"/>
          </w:tcPr>
          <w:p>
            <w:r>
              <w:rPr>
                <w:rFonts w:ascii="Arial" w:cs="Arial" w:eastAsia="Arial" w:hAnsi="Arial"/>
                <w:b w:val="false"/>
                <w:bCs w:val="false"/>
                <w:sz w:val="20"/>
                <w:szCs w:val="20"/>
              </w:rPr>
              <w:t xml:space="preserve">5</w:t>
            </w:r>
          </w:p>
        </w:tc>
        <w:tc>
          <w:tcPr>
            <w:tcW w:type="dxa" w:w="4080"/>
          </w:tcPr>
          <w:p>
            <w:r>
              <w:rPr>
                <w:rFonts w:ascii="Arial" w:cs="Arial" w:eastAsia="Arial" w:hAnsi="Arial"/>
                <w:b w:val="false"/>
                <w:bCs w:val="false"/>
                <w:sz w:val="20"/>
                <w:szCs w:val="20"/>
              </w:rPr>
              <w:t xml:space="preserve">Case-to-work-order flow with SLA escalation</w:t>
            </w:r>
          </w:p>
        </w:tc>
        <w:tc>
          <w:tcPr>
            <w:tcW w:type="dxa" w:w="4845"/>
          </w:tcPr>
          <w:p>
            <w:r>
              <w:rPr>
                <w:rFonts w:ascii="Arial" w:cs="Arial" w:eastAsia="Arial" w:hAnsi="Arial"/>
                <w:b w:val="false"/>
                <w:bCs w:val="false"/>
                <w:sz w:val="20"/>
                <w:szCs w:val="20"/>
              </w:rPr>
              <w:t xml:space="preserve">Cases become work orders that escalate on SLA risk, with no separate work order management software.</w:t>
            </w:r>
          </w:p>
        </w:tc>
      </w:tr>
      <w:tr>
        <w:tc>
          <w:tcPr>
            <w:tcW w:type="dxa" w:w="1020"/>
          </w:tcPr>
          <w:p>
            <w:r>
              <w:rPr>
                <w:rFonts w:ascii="Arial" w:cs="Arial" w:eastAsia="Arial" w:hAnsi="Arial"/>
                <w:b w:val="false"/>
                <w:bCs w:val="false"/>
                <w:sz w:val="20"/>
                <w:szCs w:val="20"/>
              </w:rPr>
              <w:t xml:space="preserve">6</w:t>
            </w:r>
          </w:p>
        </w:tc>
        <w:tc>
          <w:tcPr>
            <w:tcW w:type="dxa" w:w="4080"/>
          </w:tcPr>
          <w:p>
            <w:r>
              <w:rPr>
                <w:rFonts w:ascii="Arial" w:cs="Arial" w:eastAsia="Arial" w:hAnsi="Arial"/>
                <w:b w:val="false"/>
                <w:bCs w:val="false"/>
                <w:sz w:val="20"/>
                <w:szCs w:val="20"/>
              </w:rPr>
              <w:t xml:space="preserve">Preventive maintenance and AMC renewals</w:t>
            </w:r>
          </w:p>
        </w:tc>
        <w:tc>
          <w:tcPr>
            <w:tcW w:type="dxa" w:w="4845"/>
          </w:tcPr>
          <w:p>
            <w:r>
              <w:rPr>
                <w:rFonts w:ascii="Arial" w:cs="Arial" w:eastAsia="Arial" w:hAnsi="Arial"/>
                <w:b w:val="false"/>
                <w:bCs w:val="false"/>
                <w:sz w:val="20"/>
                <w:szCs w:val="20"/>
              </w:rPr>
              <w:t xml:space="preserve">Planned visits generated from contract schedules, and AMC renewals queued well before they lapse.</w:t>
            </w:r>
          </w:p>
        </w:tc>
      </w:tr>
      <w:tr>
        <w:tc>
          <w:tcPr>
            <w:tcW w:type="dxa" w:w="1020"/>
          </w:tcPr>
          <w:p>
            <w:r>
              <w:rPr>
                <w:rFonts w:ascii="Arial" w:cs="Arial" w:eastAsia="Arial" w:hAnsi="Arial"/>
                <w:b w:val="false"/>
                <w:bCs w:val="false"/>
                <w:sz w:val="20"/>
                <w:szCs w:val="20"/>
              </w:rPr>
              <w:t xml:space="preserve">7</w:t>
            </w:r>
          </w:p>
        </w:tc>
        <w:tc>
          <w:tcPr>
            <w:tcW w:type="dxa" w:w="4080"/>
          </w:tcPr>
          <w:p>
            <w:r>
              <w:rPr>
                <w:rFonts w:ascii="Arial" w:cs="Arial" w:eastAsia="Arial" w:hAnsi="Arial"/>
                <w:b w:val="false"/>
                <w:bCs w:val="false"/>
                <w:sz w:val="20"/>
                <w:szCs w:val="20"/>
              </w:rPr>
              <w:t xml:space="preserve">Field service dashboards and KPIs</w:t>
            </w:r>
          </w:p>
        </w:tc>
        <w:tc>
          <w:tcPr>
            <w:tcW w:type="dxa" w:w="4845"/>
          </w:tcPr>
          <w:p>
            <w:r>
              <w:rPr>
                <w:rFonts w:ascii="Arial" w:cs="Arial" w:eastAsia="Arial" w:hAnsi="Arial"/>
                <w:b w:val="false"/>
                <w:bCs w:val="false"/>
                <w:sz w:val="20"/>
                <w:szCs w:val="20"/>
              </w:rPr>
              <w:t xml:space="preserve">First-time fix, SLA attainment, repeat visits and contract revenue, with group reporting in Power BI.</w:t>
            </w:r>
          </w:p>
        </w:tc>
      </w:tr>
      <w:tr>
        <w:tc>
          <w:tcPr>
            <w:tcW w:type="dxa" w:w="1020"/>
          </w:tcPr>
          <w:p>
            <w:r>
              <w:rPr>
                <w:rFonts w:ascii="Arial" w:cs="Arial" w:eastAsia="Arial" w:hAnsi="Arial"/>
                <w:b w:val="false"/>
                <w:bCs w:val="false"/>
                <w:sz w:val="20"/>
                <w:szCs w:val="20"/>
              </w:rPr>
              <w:t xml:space="preserve">8</w:t>
            </w:r>
          </w:p>
        </w:tc>
        <w:tc>
          <w:tcPr>
            <w:tcW w:type="dxa" w:w="4080"/>
          </w:tcPr>
          <w:p>
            <w:r>
              <w:rPr>
                <w:rFonts w:ascii="Arial" w:cs="Arial" w:eastAsia="Arial" w:hAnsi="Arial"/>
                <w:b w:val="false"/>
                <w:bCs w:val="false"/>
                <w:sz w:val="20"/>
                <w:szCs w:val="20"/>
              </w:rPr>
              <w:t xml:space="preserve">Mobile field service management</w:t>
            </w:r>
          </w:p>
        </w:tc>
        <w:tc>
          <w:tcPr>
            <w:tcW w:type="dxa" w:w="4845"/>
          </w:tcPr>
          <w:p>
            <w:r>
              <w:rPr>
                <w:rFonts w:ascii="Arial" w:cs="Arial" w:eastAsia="Arial" w:hAnsi="Arial"/>
                <w:b w:val="false"/>
                <w:bCs w:val="false"/>
                <w:sz w:val="20"/>
                <w:szCs w:val="20"/>
              </w:rPr>
              <w:t xml:space="preserve">Jobs, asset records and checklists on the technician's phone, with photos and signatures captured on site.</w:t>
            </w:r>
          </w:p>
        </w:tc>
      </w:tr>
    </w:tbl>
    <w:p>
      <w:pPr>
        <w:spacing w:after="120"/>
      </w:pPr>
    </w:p>
    <w:p>
      <w:pPr>
        <w:spacing w:after="120" w:before="320"/>
      </w:pPr>
      <w:r>
        <w:rPr>
          <w:rFonts w:ascii="Arial" w:cs="Arial" w:eastAsia="Arial" w:hAnsi="Arial"/>
          <w:b/>
          <w:bCs/>
          <w:color w:val="0A1F33"/>
          <w:sz w:val="28"/>
          <w:szCs w:val="28"/>
        </w:rPr>
        <w:t xml:space="preserve">6.  Proven</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Proven</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What the service desk and ERP layers deliver</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The first two figures are SugarCRM's own numbers for Sugar Serve, its customer service module. The third is analyst research on Sugar's ERP integration.</w:t>
      </w:r>
    </w:p>
    <w:p>
      <w:pPr>
        <w:spacing w:after="40" w:before="120"/>
      </w:pPr>
      <w:r>
        <w:rPr>
          <w:rFonts w:ascii="Arial" w:cs="Arial" w:eastAsia="Arial" w:hAnsi="Arial"/>
          <w:i/>
          <w:iCs/>
          <w:color w:val="555555"/>
          <w:sz w:val="20"/>
          <w:szCs w:val="20"/>
        </w:rPr>
        <w:t xml:space="preserve">Stat row:</w:t>
      </w:r>
    </w:p>
    <w:tbl>
      <w:tblPr>
        <w:tblW w:type="dxa" w:w="9936"/>
        <w:tblBorders>
          <w:top w:val="single" w:color="000000" w:sz="4"/>
          <w:left w:val="single" w:color="000000" w:sz="4"/>
          <w:bottom w:val="single" w:color="000000" w:sz="4"/>
          <w:right w:val="single" w:color="000000" w:sz="4"/>
          <w:insideH w:val="single" w:color="000000" w:sz="4"/>
          <w:insideV w:val="single" w:color="000000" w:sz="4"/>
        </w:tblBorders>
      </w:tblPr>
      <w:tblGrid>
        <w:gridCol w:w="1950"/>
        <w:gridCol w:w="5130"/>
      </w:tblGrid>
      <w:tr>
        <w:tc>
          <w:tcPr>
            <w:tcW w:type="dxa" w:w="1950"/>
            <w:shd w:fill="0A1F33" w:color="auto" w:val="clear"/>
          </w:tcPr>
          <w:p>
            <w:r>
              <w:rPr>
                <w:rFonts w:ascii="Arial" w:cs="Arial" w:eastAsia="Arial" w:hAnsi="Arial"/>
                <w:b/>
                <w:bCs/>
                <w:color w:val="FFFFFF"/>
                <w:sz w:val="19"/>
                <w:szCs w:val="19"/>
              </w:rPr>
              <w:t xml:space="preserve">Figure</w:t>
            </w:r>
          </w:p>
        </w:tc>
        <w:tc>
          <w:tcPr>
            <w:tcW w:type="dxa" w:w="5130"/>
            <w:shd w:fill="0A1F33" w:color="auto" w:val="clear"/>
          </w:tcPr>
          <w:p>
            <w:r>
              <w:rPr>
                <w:rFonts w:ascii="Arial" w:cs="Arial" w:eastAsia="Arial" w:hAnsi="Arial"/>
                <w:b/>
                <w:bCs/>
                <w:color w:val="FFFFFF"/>
                <w:sz w:val="19"/>
                <w:szCs w:val="19"/>
              </w:rPr>
              <w:t xml:space="preserve">Label</w:t>
            </w:r>
          </w:p>
        </w:tc>
      </w:tr>
      <w:tr>
        <w:tc>
          <w:tcPr>
            <w:tcW w:type="dxa" w:w="1950"/>
          </w:tcPr>
          <w:p>
            <w:r>
              <w:rPr>
                <w:rFonts w:ascii="Arial" w:cs="Arial" w:eastAsia="Arial" w:hAnsi="Arial"/>
                <w:b w:val="false"/>
                <w:bCs w:val="false"/>
                <w:sz w:val="20"/>
                <w:szCs w:val="20"/>
              </w:rPr>
              <w:t xml:space="preserve">-27%</w:t>
            </w:r>
          </w:p>
        </w:tc>
        <w:tc>
          <w:tcPr>
            <w:tcW w:type="dxa" w:w="5130"/>
          </w:tcPr>
          <w:p>
            <w:r>
              <w:rPr>
                <w:rFonts w:ascii="Arial" w:cs="Arial" w:eastAsia="Arial" w:hAnsi="Arial"/>
                <w:b w:val="false"/>
                <w:bCs w:val="false"/>
                <w:sz w:val="20"/>
                <w:szCs w:val="20"/>
              </w:rPr>
              <w:t xml:space="preserve">Reduced case error rate</w:t>
            </w:r>
          </w:p>
        </w:tc>
      </w:tr>
      <w:tr>
        <w:tc>
          <w:tcPr>
            <w:tcW w:type="dxa" w:w="1950"/>
          </w:tcPr>
          <w:p>
            <w:r>
              <w:rPr>
                <w:rFonts w:ascii="Arial" w:cs="Arial" w:eastAsia="Arial" w:hAnsi="Arial"/>
                <w:b w:val="false"/>
                <w:bCs w:val="false"/>
                <w:sz w:val="20"/>
                <w:szCs w:val="20"/>
              </w:rPr>
              <w:t xml:space="preserve">+30%</w:t>
            </w:r>
          </w:p>
        </w:tc>
        <w:tc>
          <w:tcPr>
            <w:tcW w:type="dxa" w:w="5130"/>
          </w:tcPr>
          <w:p>
            <w:r>
              <w:rPr>
                <w:rFonts w:ascii="Arial" w:cs="Arial" w:eastAsia="Arial" w:hAnsi="Arial"/>
                <w:b w:val="false"/>
                <w:bCs w:val="false"/>
                <w:sz w:val="20"/>
                <w:szCs w:val="20"/>
              </w:rPr>
              <w:t xml:space="preserve">Revenue contribution from support teams</w:t>
            </w:r>
          </w:p>
        </w:tc>
      </w:tr>
      <w:tr>
        <w:tc>
          <w:tcPr>
            <w:tcW w:type="dxa" w:w="1950"/>
          </w:tcPr>
          <w:p>
            <w:r>
              <w:rPr>
                <w:rFonts w:ascii="Arial" w:cs="Arial" w:eastAsia="Arial" w:hAnsi="Arial"/>
                <w:b w:val="false"/>
                <w:bCs w:val="false"/>
                <w:sz w:val="20"/>
                <w:szCs w:val="20"/>
              </w:rPr>
              <w:t xml:space="preserve">8%</w:t>
            </w:r>
          </w:p>
        </w:tc>
        <w:tc>
          <w:tcPr>
            <w:tcW w:type="dxa" w:w="5130"/>
          </w:tcPr>
          <w:p>
            <w:r>
              <w:rPr>
                <w:rFonts w:ascii="Arial" w:cs="Arial" w:eastAsia="Arial" w:hAnsi="Arial"/>
                <w:b w:val="false"/>
                <w:bCs w:val="false"/>
                <w:sz w:val="20"/>
                <w:szCs w:val="20"/>
              </w:rPr>
              <w:t xml:space="preserve">Higher recurring revenue with ERP integration (Nucleus Research)</w:t>
            </w:r>
          </w:p>
        </w:tc>
      </w:tr>
    </w:tbl>
    <w:p>
      <w:pPr>
        <w:spacing w:after="120"/>
      </w:pPr>
    </w:p>
    <w:p>
      <w:pPr>
        <w:spacing w:after="120" w:before="320"/>
      </w:pPr>
      <w:r>
        <w:rPr>
          <w:rFonts w:ascii="Arial" w:cs="Arial" w:eastAsia="Arial" w:hAnsi="Arial"/>
          <w:b/>
          <w:bCs/>
          <w:color w:val="0A1F33"/>
          <w:sz w:val="28"/>
          <w:szCs w:val="28"/>
        </w:rPr>
        <w:t xml:space="preserve">7.  Who we serve</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Who we serve</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Field service businesses we configure SugarAI for</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Each type of service operation gets its own SugarAI setup.</w:t>
      </w:r>
    </w:p>
    <w:p>
      <w:pPr>
        <w:spacing w:after="40" w:before="120"/>
      </w:pPr>
      <w:r>
        <w:rPr>
          <w:rFonts w:ascii="Arial" w:cs="Arial" w:eastAsia="Arial" w:hAnsi="Arial"/>
          <w:i/>
          <w:iCs/>
          <w:color w:val="555555"/>
          <w:sz w:val="20"/>
          <w:szCs w:val="20"/>
        </w:rPr>
        <w:t xml:space="preserve">Six tiles (heading / copy):</w:t>
      </w:r>
    </w:p>
    <w:p>
      <w:pPr>
        <w:spacing w:after="120"/>
        <w:ind w:left="216"/>
      </w:pPr>
      <w:r>
        <w:rPr>
          <w:rFonts w:ascii="Arial" w:cs="Arial" w:eastAsia="Arial" w:hAnsi="Arial"/>
          <w:b/>
          <w:bCs/>
          <w:sz w:val="21"/>
          <w:szCs w:val="21"/>
        </w:rPr>
        <w:t xml:space="preserve">1.  Integrated facilities management providers</w:t>
      </w:r>
      <w:r>
        <w:rPr>
          <w:rFonts w:ascii="Arial" w:cs="Arial" w:eastAsia="Arial" w:hAnsi="Arial"/>
          <w:color w:val="555555"/>
          <w:sz w:val="21"/>
          <w:szCs w:val="21"/>
        </w:rPr>
        <w:t xml:space="preserve">  -  </w:t>
      </w:r>
      <w:r>
        <w:rPr>
          <w:rFonts w:ascii="Arial" w:cs="Arial" w:eastAsia="Arial" w:hAnsi="Arial"/>
          <w:color w:val="555555"/>
          <w:sz w:val="21"/>
          <w:szCs w:val="21"/>
        </w:rPr>
        <w:t xml:space="preserve">Hard and soft services across property portfolios, with heavy helpdesk volumes.</w:t>
      </w:r>
    </w:p>
    <w:p>
      <w:pPr>
        <w:spacing w:after="120"/>
        <w:ind w:left="216"/>
      </w:pPr>
      <w:r>
        <w:rPr>
          <w:rFonts w:ascii="Arial" w:cs="Arial" w:eastAsia="Arial" w:hAnsi="Arial"/>
          <w:b/>
          <w:bCs/>
          <w:sz w:val="21"/>
          <w:szCs w:val="21"/>
        </w:rPr>
        <w:t xml:space="preserve">2.  HVAC, MEP and building services contractors</w:t>
      </w:r>
      <w:r>
        <w:rPr>
          <w:rFonts w:ascii="Arial" w:cs="Arial" w:eastAsia="Arial" w:hAnsi="Arial"/>
          <w:color w:val="555555"/>
          <w:sz w:val="21"/>
          <w:szCs w:val="21"/>
        </w:rPr>
        <w:t xml:space="preserve">  -  </w:t>
      </w:r>
      <w:r>
        <w:rPr>
          <w:rFonts w:ascii="Arial" w:cs="Arial" w:eastAsia="Arial" w:hAnsi="Arial"/>
          <w:color w:val="555555"/>
          <w:sz w:val="21"/>
          <w:szCs w:val="21"/>
        </w:rPr>
        <w:t xml:space="preserve">Breakdown call-outs and planned maintenance, with cooling uptime as the priority.</w:t>
      </w:r>
    </w:p>
    <w:p>
      <w:pPr>
        <w:spacing w:after="120"/>
        <w:ind w:left="216"/>
      </w:pPr>
      <w:r>
        <w:rPr>
          <w:rFonts w:ascii="Arial" w:cs="Arial" w:eastAsia="Arial" w:hAnsi="Arial"/>
          <w:b/>
          <w:bCs/>
          <w:sz w:val="21"/>
          <w:szCs w:val="21"/>
        </w:rPr>
        <w:t xml:space="preserve">3.  Equipment manufacturers and distributors</w:t>
      </w:r>
      <w:r>
        <w:rPr>
          <w:rFonts w:ascii="Arial" w:cs="Arial" w:eastAsia="Arial" w:hAnsi="Arial"/>
          <w:color w:val="555555"/>
          <w:sz w:val="21"/>
          <w:szCs w:val="21"/>
        </w:rPr>
        <w:t xml:space="preserve">  -  </w:t>
      </w:r>
      <w:r>
        <w:rPr>
          <w:rFonts w:ascii="Arial" w:cs="Arial" w:eastAsia="Arial" w:hAnsi="Arial"/>
          <w:color w:val="555555"/>
          <w:sz w:val="21"/>
          <w:szCs w:val="21"/>
        </w:rPr>
        <w:t xml:space="preserve">Installed-base service, warranty and commissioning, extending SugarAI for manufacturers into after-sales.</w:t>
      </w:r>
    </w:p>
    <w:p>
      <w:pPr>
        <w:spacing w:after="120"/>
        <w:ind w:left="216"/>
      </w:pPr>
      <w:r>
        <w:rPr>
          <w:rFonts w:ascii="Arial" w:cs="Arial" w:eastAsia="Arial" w:hAnsi="Arial"/>
          <w:b/>
          <w:bCs/>
          <w:sz w:val="21"/>
          <w:szCs w:val="21"/>
        </w:rPr>
        <w:t xml:space="preserve">4.  Lift, fire and life safety, and security system maintainers</w:t>
      </w:r>
      <w:r>
        <w:rPr>
          <w:rFonts w:ascii="Arial" w:cs="Arial" w:eastAsia="Arial" w:hAnsi="Arial"/>
          <w:color w:val="555555"/>
          <w:sz w:val="21"/>
          <w:szCs w:val="21"/>
        </w:rPr>
        <w:t xml:space="preserve">  -  </w:t>
      </w:r>
      <w:r>
        <w:rPr>
          <w:rFonts w:ascii="Arial" w:cs="Arial" w:eastAsia="Arial" w:hAnsi="Arial"/>
          <w:color w:val="555555"/>
          <w:sz w:val="21"/>
          <w:szCs w:val="21"/>
        </w:rPr>
        <w:t xml:space="preserve">Statutory inspections and certificates held against every site and system.</w:t>
      </w:r>
    </w:p>
    <w:p>
      <w:pPr>
        <w:spacing w:after="120"/>
        <w:ind w:left="216"/>
      </w:pPr>
      <w:r>
        <w:rPr>
          <w:rFonts w:ascii="Arial" w:cs="Arial" w:eastAsia="Arial" w:hAnsi="Arial"/>
          <w:b/>
          <w:bCs/>
          <w:sz w:val="21"/>
          <w:szCs w:val="21"/>
        </w:rPr>
        <w:t xml:space="preserve">5.  Medical and laboratory equipment service teams</w:t>
      </w:r>
      <w:r>
        <w:rPr>
          <w:rFonts w:ascii="Arial" w:cs="Arial" w:eastAsia="Arial" w:hAnsi="Arial"/>
          <w:color w:val="555555"/>
          <w:sz w:val="21"/>
          <w:szCs w:val="21"/>
        </w:rPr>
        <w:t xml:space="preserve">  -  </w:t>
      </w:r>
      <w:r>
        <w:rPr>
          <w:rFonts w:ascii="Arial" w:cs="Arial" w:eastAsia="Arial" w:hAnsi="Arial"/>
          <w:color w:val="555555"/>
          <w:sz w:val="21"/>
          <w:szCs w:val="21"/>
        </w:rPr>
        <w:t xml:space="preserve">Calibration schedules, uptime commitments and audit-ready service records.</w:t>
      </w:r>
    </w:p>
    <w:p>
      <w:pPr>
        <w:spacing w:after="120"/>
        <w:ind w:left="216"/>
      </w:pPr>
      <w:r>
        <w:rPr>
          <w:rFonts w:ascii="Arial" w:cs="Arial" w:eastAsia="Arial" w:hAnsi="Arial"/>
          <w:b/>
          <w:bCs/>
          <w:sz w:val="21"/>
          <w:szCs w:val="21"/>
        </w:rPr>
        <w:t xml:space="preserve">6.  Energy, solar and utilities O&amp;M teams</w:t>
      </w:r>
      <w:r>
        <w:rPr>
          <w:rFonts w:ascii="Arial" w:cs="Arial" w:eastAsia="Arial" w:hAnsi="Arial"/>
          <w:color w:val="555555"/>
          <w:sz w:val="21"/>
          <w:szCs w:val="21"/>
        </w:rPr>
        <w:t xml:space="preserve">  -  </w:t>
      </w:r>
      <w:r>
        <w:rPr>
          <w:rFonts w:ascii="Arial" w:cs="Arial" w:eastAsia="Arial" w:hAnsi="Arial"/>
          <w:color w:val="555555"/>
          <w:sz w:val="21"/>
          <w:szCs w:val="21"/>
        </w:rPr>
        <w:t xml:space="preserve">Remote, distributed assets, inspection rounds and performance-linked service agreements.</w:t>
      </w:r>
    </w:p>
    <w:p>
      <w:pPr>
        <w:spacing w:after="120"/>
      </w:pPr>
    </w:p>
    <w:p>
      <w:pPr>
        <w:spacing w:after="120" w:before="320"/>
      </w:pPr>
      <w:r>
        <w:rPr>
          <w:rFonts w:ascii="Arial" w:cs="Arial" w:eastAsia="Arial" w:hAnsi="Arial"/>
          <w:b/>
          <w:bCs/>
          <w:color w:val="0A1F33"/>
          <w:sz w:val="28"/>
          <w:szCs w:val="28"/>
        </w:rPr>
        <w:t xml:space="preserve">8.  Configured for the UAE and GCC market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Regional fit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Set up for field work in the UAE and wider GCC</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Field service management in the UAE means crews spanning several emirates, customers served in Arabic and English, and a summer cooling peak on top of contracted maintenance. HLB HAMT configures SugarAI around all of it.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Button: </w:t>
      </w:r>
      <w:r>
        <w:rPr>
          <w:rFonts w:ascii="Arial" w:cs="Arial" w:eastAsia="Arial" w:hAnsi="Arial"/>
          <w:sz w:val="21"/>
          <w:szCs w:val="21"/>
        </w:rPr>
        <w:t xml:space="preserve">Talk to our field service team</w:t>
      </w:r>
    </w:p>
    <w:p>
      <w:pPr>
        <w:spacing w:after="40" w:before="120"/>
      </w:pPr>
      <w:r>
        <w:rPr>
          <w:rFonts w:ascii="Arial" w:cs="Arial" w:eastAsia="Arial" w:hAnsi="Arial"/>
          <w:i/>
          <w:iCs/>
          <w:color w:val="555555"/>
          <w:sz w:val="20"/>
          <w:szCs w:val="20"/>
        </w:rPr>
        <w:t xml:space="preserve">Checklist (heading / copy):</w:t>
      </w:r>
    </w:p>
    <w:p>
      <w:pPr>
        <w:spacing w:after="120"/>
        <w:ind w:left="216"/>
      </w:pPr>
      <w:r>
        <w:rPr>
          <w:rFonts w:ascii="Arial" w:cs="Arial" w:eastAsia="Arial" w:hAnsi="Arial"/>
          <w:b/>
          <w:bCs/>
          <w:sz w:val="21"/>
          <w:szCs w:val="21"/>
        </w:rPr>
        <w:t xml:space="preserve">1.  Bilingual job sheets and customer updates</w:t>
      </w:r>
      <w:r>
        <w:rPr>
          <w:rFonts w:ascii="Arial" w:cs="Arial" w:eastAsia="Arial" w:hAnsi="Arial"/>
          <w:color w:val="555555"/>
          <w:sz w:val="21"/>
          <w:szCs w:val="21"/>
        </w:rPr>
        <w:t xml:space="preserve">  -  </w:t>
      </w:r>
      <w:r>
        <w:rPr>
          <w:rFonts w:ascii="Arial" w:cs="Arial" w:eastAsia="Arial" w:hAnsi="Arial"/>
          <w:color w:val="555555"/>
          <w:sz w:val="21"/>
          <w:szCs w:val="21"/>
        </w:rPr>
        <w:t xml:space="preserve">Screens, job reports and customer notifications in Arabic or English.</w:t>
      </w:r>
    </w:p>
    <w:p>
      <w:pPr>
        <w:spacing w:after="120"/>
        <w:ind w:left="216"/>
      </w:pPr>
      <w:r>
        <w:rPr>
          <w:rFonts w:ascii="Arial" w:cs="Arial" w:eastAsia="Arial" w:hAnsi="Arial"/>
          <w:b/>
          <w:bCs/>
          <w:sz w:val="21"/>
          <w:szCs w:val="21"/>
        </w:rPr>
        <w:t xml:space="preserve">2.  WhatsApp appointment and arrival updates</w:t>
      </w:r>
      <w:r>
        <w:rPr>
          <w:rFonts w:ascii="Arial" w:cs="Arial" w:eastAsia="Arial" w:hAnsi="Arial"/>
          <w:color w:val="555555"/>
          <w:sz w:val="21"/>
          <w:szCs w:val="21"/>
        </w:rPr>
        <w:t xml:space="preserve">  -  </w:t>
      </w:r>
      <w:r>
        <w:rPr>
          <w:rFonts w:ascii="Arial" w:cs="Arial" w:eastAsia="Arial" w:hAnsi="Arial"/>
          <w:color w:val="555555"/>
          <w:sz w:val="21"/>
          <w:szCs w:val="21"/>
        </w:rPr>
        <w:t xml:space="preserve">Booking, arrival and completion messages sent on WhatsApp and logged against the job.</w:t>
      </w:r>
    </w:p>
    <w:p>
      <w:pPr>
        <w:spacing w:after="120"/>
        <w:ind w:left="216"/>
      </w:pPr>
      <w:r>
        <w:rPr>
          <w:rFonts w:ascii="Arial" w:cs="Arial" w:eastAsia="Arial" w:hAnsi="Arial"/>
          <w:b/>
          <w:bCs/>
          <w:sz w:val="21"/>
          <w:szCs w:val="21"/>
        </w:rPr>
        <w:t xml:space="preserve">3.  Multi-entity, multi-emirate operations</w:t>
      </w:r>
      <w:r>
        <w:rPr>
          <w:rFonts w:ascii="Arial" w:cs="Arial" w:eastAsia="Arial" w:hAnsi="Arial"/>
          <w:color w:val="555555"/>
          <w:sz w:val="21"/>
          <w:szCs w:val="21"/>
        </w:rPr>
        <w:t xml:space="preserve">  -  </w:t>
      </w:r>
      <w:r>
        <w:rPr>
          <w:rFonts w:ascii="Arial" w:cs="Arial" w:eastAsia="Arial" w:hAnsi="Arial"/>
          <w:color w:val="555555"/>
          <w:sz w:val="21"/>
          <w:szCs w:val="21"/>
        </w:rPr>
        <w:t xml:space="preserve">Branches across emirates and the GCC keep their own crews but report as one group.</w:t>
      </w:r>
    </w:p>
    <w:p>
      <w:pPr>
        <w:spacing w:after="120"/>
        <w:ind w:left="216"/>
      </w:pPr>
      <w:r>
        <w:rPr>
          <w:rFonts w:ascii="Arial" w:cs="Arial" w:eastAsia="Arial" w:hAnsi="Arial"/>
          <w:b/>
          <w:bCs/>
          <w:sz w:val="21"/>
          <w:szCs w:val="21"/>
        </w:rPr>
        <w:t xml:space="preserve">4.  Authority inspection tracking</w:t>
      </w:r>
      <w:r>
        <w:rPr>
          <w:rFonts w:ascii="Arial" w:cs="Arial" w:eastAsia="Arial" w:hAnsi="Arial"/>
          <w:color w:val="555555"/>
          <w:sz w:val="21"/>
          <w:szCs w:val="21"/>
        </w:rPr>
        <w:t xml:space="preserve">  -  </w:t>
      </w:r>
      <w:r>
        <w:rPr>
          <w:rFonts w:ascii="Arial" w:cs="Arial" w:eastAsia="Arial" w:hAnsi="Arial"/>
          <w:color w:val="555555"/>
          <w:sz w:val="21"/>
          <w:szCs w:val="21"/>
        </w:rPr>
        <w:t xml:space="preserve">Civil defence and other authority inspections scheduled and evidenced per site.</w:t>
      </w:r>
    </w:p>
    <w:p>
      <w:pPr>
        <w:spacing w:after="120"/>
        <w:ind w:left="216"/>
      </w:pPr>
      <w:r>
        <w:rPr>
          <w:rFonts w:ascii="Arial" w:cs="Arial" w:eastAsia="Arial" w:hAnsi="Arial"/>
          <w:b/>
          <w:bCs/>
          <w:sz w:val="21"/>
          <w:szCs w:val="21"/>
        </w:rPr>
        <w:t xml:space="preserve">5.  Summer peak capacity planning</w:t>
      </w:r>
      <w:r>
        <w:rPr>
          <w:rFonts w:ascii="Arial" w:cs="Arial" w:eastAsia="Arial" w:hAnsi="Arial"/>
          <w:color w:val="555555"/>
          <w:sz w:val="21"/>
          <w:szCs w:val="21"/>
        </w:rPr>
        <w:t xml:space="preserve">  -  </w:t>
      </w:r>
      <w:r>
        <w:rPr>
          <w:rFonts w:ascii="Arial" w:cs="Arial" w:eastAsia="Arial" w:hAnsi="Arial"/>
          <w:color w:val="555555"/>
          <w:sz w:val="21"/>
          <w:szCs w:val="21"/>
        </w:rPr>
        <w:t xml:space="preserve">Job volumes, technician availability and subcontractor capacity planned before the cooling season.</w:t>
      </w:r>
    </w:p>
    <w:p>
      <w:pPr>
        <w:spacing w:after="120"/>
        <w:ind w:left="216"/>
      </w:pPr>
      <w:r>
        <w:rPr>
          <w:rFonts w:ascii="Arial" w:cs="Arial" w:eastAsia="Arial" w:hAnsi="Arial"/>
          <w:b/>
          <w:bCs/>
          <w:sz w:val="21"/>
          <w:szCs w:val="21"/>
        </w:rPr>
        <w:t xml:space="preserve">6.  Cloud, private cloud or on-premise</w:t>
      </w:r>
      <w:r>
        <w:rPr>
          <w:rFonts w:ascii="Arial" w:cs="Arial" w:eastAsia="Arial" w:hAnsi="Arial"/>
          <w:color w:val="555555"/>
          <w:sz w:val="21"/>
          <w:szCs w:val="21"/>
        </w:rPr>
        <w:t xml:space="preserve">  -  </w:t>
      </w:r>
      <w:r>
        <w:rPr>
          <w:rFonts w:ascii="Arial" w:cs="Arial" w:eastAsia="Arial" w:hAnsi="Arial"/>
          <w:color w:val="555555"/>
          <w:sz w:val="21"/>
          <w:szCs w:val="21"/>
        </w:rPr>
        <w:t xml:space="preserve">Each group entity can run on a different deployment mode.</w:t>
      </w:r>
    </w:p>
    <w:p>
      <w:pPr>
        <w:spacing w:after="120"/>
      </w:pPr>
    </w:p>
    <w:p>
      <w:pPr>
        <w:spacing w:after="120" w:before="320"/>
      </w:pPr>
      <w:r>
        <w:rPr>
          <w:rFonts w:ascii="Arial" w:cs="Arial" w:eastAsia="Arial" w:hAnsi="Arial"/>
          <w:b/>
          <w:bCs/>
          <w:color w:val="0A1F33"/>
          <w:sz w:val="28"/>
          <w:szCs w:val="28"/>
        </w:rPr>
        <w:t xml:space="preserve">9.  Our implementation process</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How we work</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How we roll out SugarAI CRM for field service teams</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Intro: </w:t>
      </w:r>
      <w:r>
        <w:rPr>
          <w:rFonts w:ascii="Arial" w:cs="Arial" w:eastAsia="Arial" w:hAnsi="Arial"/>
          <w:sz w:val="21"/>
          <w:szCs w:val="21"/>
        </w:rPr>
        <w:t xml:space="preserve">Each stage ends with your sign-off. The service desk goes live first; mobile job sheets and scheduling follow.</w:t>
      </w:r>
    </w:p>
    <w:p>
      <w:pPr>
        <w:spacing w:after="40" w:before="120"/>
      </w:pPr>
      <w:r>
        <w:rPr>
          <w:rFonts w:ascii="Arial" w:cs="Arial" w:eastAsia="Arial" w:hAnsi="Arial"/>
          <w:i/>
          <w:iCs/>
          <w:color w:val="555555"/>
          <w:sz w:val="20"/>
          <w:szCs w:val="20"/>
        </w:rPr>
        <w:t xml:space="preserve">Six-step timeline:</w:t>
      </w:r>
    </w:p>
    <w:p>
      <w:pPr>
        <w:spacing w:after="120"/>
        <w:ind w:left="216"/>
      </w:pPr>
      <w:r>
        <w:rPr>
          <w:rFonts w:ascii="Arial" w:cs="Arial" w:eastAsia="Arial" w:hAnsi="Arial"/>
          <w:b/>
          <w:bCs/>
          <w:sz w:val="21"/>
          <w:szCs w:val="21"/>
        </w:rPr>
        <w:t xml:space="preserve">1.  Discovery</w:t>
      </w:r>
      <w:r>
        <w:rPr>
          <w:rFonts w:ascii="Arial" w:cs="Arial" w:eastAsia="Arial" w:hAnsi="Arial"/>
          <w:color w:val="555555"/>
          <w:sz w:val="21"/>
          <w:szCs w:val="21"/>
        </w:rPr>
        <w:t xml:space="preserve">  -  </w:t>
      </w:r>
      <w:r>
        <w:rPr>
          <w:rFonts w:ascii="Arial" w:cs="Arial" w:eastAsia="Arial" w:hAnsi="Arial"/>
          <w:color w:val="555555"/>
          <w:sz w:val="21"/>
          <w:szCs w:val="21"/>
        </w:rPr>
        <w:t xml:space="preserve">Workshops follow a typical job end to end: call, visit, invoice and renewal.</w:t>
      </w:r>
    </w:p>
    <w:p>
      <w:pPr>
        <w:spacing w:after="120"/>
        <w:ind w:left="216"/>
      </w:pPr>
      <w:r>
        <w:rPr>
          <w:rFonts w:ascii="Arial" w:cs="Arial" w:eastAsia="Arial" w:hAnsi="Arial"/>
          <w:b/>
          <w:bCs/>
          <w:sz w:val="21"/>
          <w:szCs w:val="21"/>
        </w:rPr>
        <w:t xml:space="preserve">2.  Solution design</w:t>
      </w:r>
      <w:r>
        <w:rPr>
          <w:rFonts w:ascii="Arial" w:cs="Arial" w:eastAsia="Arial" w:hAnsi="Arial"/>
          <w:color w:val="555555"/>
          <w:sz w:val="21"/>
          <w:szCs w:val="21"/>
        </w:rPr>
        <w:t xml:space="preserve">  -  </w:t>
      </w:r>
      <w:r>
        <w:rPr>
          <w:rFonts w:ascii="Arial" w:cs="Arial" w:eastAsia="Arial" w:hAnsi="Arial"/>
          <w:color w:val="555555"/>
          <w:sz w:val="21"/>
          <w:szCs w:val="21"/>
        </w:rPr>
        <w:t xml:space="preserve">Job types, skills matrix, SLA, entitlement and assignment rules agreed in writing.</w:t>
      </w:r>
    </w:p>
    <w:p>
      <w:pPr>
        <w:spacing w:after="120"/>
        <w:ind w:left="216"/>
      </w:pPr>
      <w:r>
        <w:rPr>
          <w:rFonts w:ascii="Arial" w:cs="Arial" w:eastAsia="Arial" w:hAnsi="Arial"/>
          <w:b/>
          <w:bCs/>
          <w:sz w:val="21"/>
          <w:szCs w:val="21"/>
        </w:rPr>
        <w:t xml:space="preserve">3.  Configure and build</w:t>
      </w:r>
      <w:r>
        <w:rPr>
          <w:rFonts w:ascii="Arial" w:cs="Arial" w:eastAsia="Arial" w:hAnsi="Arial"/>
          <w:color w:val="555555"/>
          <w:sz w:val="21"/>
          <w:szCs w:val="21"/>
        </w:rPr>
        <w:t xml:space="preserve">  -  </w:t>
      </w:r>
      <w:r>
        <w:rPr>
          <w:rFonts w:ascii="Arial" w:cs="Arial" w:eastAsia="Arial" w:hAnsi="Arial"/>
          <w:color w:val="555555"/>
          <w:sz w:val="21"/>
          <w:szCs w:val="21"/>
        </w:rPr>
        <w:t xml:space="preserve">Consultants configure cases, work orders, job sheets, portals and ERP links.</w:t>
      </w:r>
    </w:p>
    <w:p>
      <w:pPr>
        <w:spacing w:after="120"/>
        <w:ind w:left="216"/>
      </w:pPr>
      <w:r>
        <w:rPr>
          <w:rFonts w:ascii="Arial" w:cs="Arial" w:eastAsia="Arial" w:hAnsi="Arial"/>
          <w:b/>
          <w:bCs/>
          <w:sz w:val="21"/>
          <w:szCs w:val="21"/>
        </w:rPr>
        <w:t xml:space="preserve">4.  Data migration</w:t>
      </w:r>
      <w:r>
        <w:rPr>
          <w:rFonts w:ascii="Arial" w:cs="Arial" w:eastAsia="Arial" w:hAnsi="Arial"/>
          <w:color w:val="555555"/>
          <w:sz w:val="21"/>
          <w:szCs w:val="21"/>
        </w:rPr>
        <w:t xml:space="preserve">  -  </w:t>
      </w:r>
      <w:r>
        <w:rPr>
          <w:rFonts w:ascii="Arial" w:cs="Arial" w:eastAsia="Arial" w:hAnsi="Arial"/>
          <w:color w:val="555555"/>
          <w:sz w:val="21"/>
          <w:szCs w:val="21"/>
        </w:rPr>
        <w:t xml:space="preserve">We trial-load customer, site, asset and contract records, removing duplicates before cutover.</w:t>
      </w:r>
    </w:p>
    <w:p>
      <w:pPr>
        <w:spacing w:after="120"/>
        <w:ind w:left="216"/>
      </w:pPr>
      <w:r>
        <w:rPr>
          <w:rFonts w:ascii="Arial" w:cs="Arial" w:eastAsia="Arial" w:hAnsi="Arial"/>
          <w:b/>
          <w:bCs/>
          <w:sz w:val="21"/>
          <w:szCs w:val="21"/>
        </w:rPr>
        <w:t xml:space="preserve">5.  Test and train</w:t>
      </w:r>
      <w:r>
        <w:rPr>
          <w:rFonts w:ascii="Arial" w:cs="Arial" w:eastAsia="Arial" w:hAnsi="Arial"/>
          <w:color w:val="555555"/>
          <w:sz w:val="21"/>
          <w:szCs w:val="21"/>
        </w:rPr>
        <w:t xml:space="preserve">  -  </w:t>
      </w:r>
      <w:r>
        <w:rPr>
          <w:rFonts w:ascii="Arial" w:cs="Arial" w:eastAsia="Arial" w:hAnsi="Arial"/>
          <w:color w:val="555555"/>
          <w:sz w:val="21"/>
          <w:szCs w:val="21"/>
        </w:rPr>
        <w:t xml:space="preserve">Acceptance tests signed off, then role-based training, on-device for technicians.</w:t>
      </w:r>
    </w:p>
    <w:p>
      <w:pPr>
        <w:spacing w:after="120"/>
        <w:ind w:left="216"/>
      </w:pPr>
      <w:r>
        <w:rPr>
          <w:rFonts w:ascii="Arial" w:cs="Arial" w:eastAsia="Arial" w:hAnsi="Arial"/>
          <w:b/>
          <w:bCs/>
          <w:sz w:val="21"/>
          <w:szCs w:val="21"/>
        </w:rPr>
        <w:t xml:space="preserve">6.  Go-live and support</w:t>
      </w:r>
      <w:r>
        <w:rPr>
          <w:rFonts w:ascii="Arial" w:cs="Arial" w:eastAsia="Arial" w:hAnsi="Arial"/>
          <w:color w:val="555555"/>
          <w:sz w:val="21"/>
          <w:szCs w:val="21"/>
        </w:rPr>
        <w:t xml:space="preserve">  -  </w:t>
      </w:r>
      <w:r>
        <w:rPr>
          <w:rFonts w:ascii="Arial" w:cs="Arial" w:eastAsia="Arial" w:hAnsi="Arial"/>
          <w:color w:val="555555"/>
          <w:sz w:val="21"/>
          <w:szCs w:val="21"/>
        </w:rPr>
        <w:t xml:space="preserve">Hypercare covers each launch phase; an SLA then governs managed support.</w:t>
      </w:r>
    </w:p>
    <w:p>
      <w:pPr>
        <w:spacing w:after="60" w:before="160"/>
      </w:pPr>
      <w:r>
        <w:rPr>
          <w:rFonts w:ascii="Arial" w:cs="Arial" w:eastAsia="Arial" w:hAnsi="Arial"/>
          <w:b/>
          <w:bCs/>
          <w:i/>
          <w:iCs/>
          <w:sz w:val="22"/>
          <w:szCs w:val="22"/>
        </w:rPr>
        <w:t xml:space="preserve">Start with Guided Low-Touch onboarding, then add the field layer</w:t>
      </w:r>
    </w:p>
    <w:p>
      <w:pPr>
        <w:spacing w:after="120"/>
        <w:ind w:left="216"/>
      </w:pPr>
      <w:r>
        <w:rPr>
          <w:rFonts w:ascii="Arial" w:cs="Arial" w:eastAsia="Arial" w:hAnsi="Arial"/>
          <w:color w:val="555555"/>
          <w:sz w:val="21"/>
          <w:szCs w:val="21"/>
        </w:rPr>
        <w:t xml:space="preserve">Guided Low-Touch onboarding gets a standard service desk (cases, SLAs, customer records) working quickly. Scheduling rules, mobile job sheets and ERP integration follow next.</w:t>
      </w:r>
    </w:p>
    <w:p>
      <w:pPr>
        <w:spacing w:after="120"/>
      </w:pPr>
    </w:p>
    <w:p>
      <w:pPr>
        <w:spacing w:after="120" w:before="320"/>
      </w:pPr>
      <w:r>
        <w:rPr>
          <w:rFonts w:ascii="Arial" w:cs="Arial" w:eastAsia="Arial" w:hAnsi="Arial"/>
          <w:b/>
          <w:bCs/>
          <w:color w:val="0A1F33"/>
          <w:sz w:val="28"/>
          <w:szCs w:val="28"/>
        </w:rPr>
        <w:t xml:space="preserve">10.  Why choose HLB HAMT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Why HLB HAMT</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Why service businesses choose HLB HAMT</w:t>
      </w:r>
    </w:p>
    <w:p>
      <w:pPr>
        <w:spacing w:after="40" w:before="120"/>
      </w:pPr>
      <w:r>
        <w:rPr>
          <w:rFonts w:ascii="Arial" w:cs="Arial" w:eastAsia="Arial" w:hAnsi="Arial"/>
          <w:i/>
          <w:iCs/>
          <w:color w:val="555555"/>
          <w:sz w:val="20"/>
          <w:szCs w:val="20"/>
        </w:rPr>
        <w:t xml:space="preserve">Four cards:</w:t>
      </w:r>
    </w:p>
    <w:p>
      <w:pPr>
        <w:spacing w:after="120"/>
        <w:ind w:left="216"/>
      </w:pPr>
      <w:r>
        <w:rPr>
          <w:rFonts w:ascii="Arial" w:cs="Arial" w:eastAsia="Arial" w:hAnsi="Arial"/>
          <w:b/>
          <w:bCs/>
          <w:sz w:val="21"/>
          <w:szCs w:val="21"/>
        </w:rPr>
        <w:t xml:space="preserve">1.  Regional delivery depth</w:t>
      </w:r>
      <w:r>
        <w:rPr>
          <w:rFonts w:ascii="Arial" w:cs="Arial" w:eastAsia="Arial" w:hAnsi="Arial"/>
          <w:color w:val="555555"/>
          <w:sz w:val="21"/>
          <w:szCs w:val="21"/>
        </w:rPr>
        <w:t xml:space="preserve">  -  </w:t>
      </w:r>
      <w:r>
        <w:rPr>
          <w:rFonts w:ascii="Arial" w:cs="Arial" w:eastAsia="Arial" w:hAnsi="Arial"/>
          <w:color w:val="555555"/>
          <w:sz w:val="21"/>
          <w:szCs w:val="21"/>
        </w:rPr>
        <w:t xml:space="preserve">Gulf maintenance contracts have their own tendering, pricing and delivery conventions, which 26 years in the UAE and GCC have taught us.</w:t>
      </w:r>
    </w:p>
    <w:p>
      <w:pPr>
        <w:spacing w:after="120"/>
        <w:ind w:left="216"/>
      </w:pPr>
      <w:r>
        <w:rPr>
          <w:rFonts w:ascii="Arial" w:cs="Arial" w:eastAsia="Arial" w:hAnsi="Arial"/>
          <w:b/>
          <w:bCs/>
          <w:sz w:val="21"/>
          <w:szCs w:val="21"/>
        </w:rPr>
        <w:t xml:space="preserve">2.  A field service blueprint to start from</w:t>
      </w:r>
      <w:r>
        <w:rPr>
          <w:rFonts w:ascii="Arial" w:cs="Arial" w:eastAsia="Arial" w:hAnsi="Arial"/>
          <w:color w:val="555555"/>
          <w:sz w:val="21"/>
          <w:szCs w:val="21"/>
        </w:rPr>
        <w:t xml:space="preserve">  -  </w:t>
      </w:r>
      <w:r>
        <w:rPr>
          <w:rFonts w:ascii="Arial" w:cs="Arial" w:eastAsia="Arial" w:hAnsi="Arial"/>
          <w:color w:val="555555"/>
          <w:sz w:val="21"/>
          <w:szCs w:val="21"/>
        </w:rPr>
        <w:t xml:space="preserve">Job types, SLA rules, checklists and dashboards arrive preconfigured and are adapted to your contracts.</w:t>
      </w:r>
    </w:p>
    <w:p>
      <w:pPr>
        <w:spacing w:after="120"/>
        <w:ind w:left="216"/>
      </w:pPr>
      <w:r>
        <w:rPr>
          <w:rFonts w:ascii="Arial" w:cs="Arial" w:eastAsia="Arial" w:hAnsi="Arial"/>
          <w:b/>
          <w:bCs/>
          <w:sz w:val="21"/>
          <w:szCs w:val="21"/>
        </w:rPr>
        <w:t xml:space="preserve">3.  One team from design to support</w:t>
      </w:r>
      <w:r>
        <w:rPr>
          <w:rFonts w:ascii="Arial" w:cs="Arial" w:eastAsia="Arial" w:hAnsi="Arial"/>
          <w:color w:val="555555"/>
          <w:sz w:val="21"/>
          <w:szCs w:val="21"/>
        </w:rPr>
        <w:t xml:space="preserve">  -  </w:t>
      </w:r>
      <w:r>
        <w:rPr>
          <w:rFonts w:ascii="Arial" w:cs="Arial" w:eastAsia="Arial" w:hAnsi="Arial"/>
          <w:color w:val="555555"/>
          <w:sz w:val="21"/>
          <w:szCs w:val="21"/>
        </w:rPr>
        <w:t xml:space="preserve">No part of your project is subcontracted: our technology consulting services team designs, builds, integrates and supports it.</w:t>
      </w:r>
    </w:p>
    <w:p>
      <w:pPr>
        <w:spacing w:after="120"/>
        <w:ind w:left="216"/>
      </w:pPr>
      <w:r>
        <w:rPr>
          <w:rFonts w:ascii="Arial" w:cs="Arial" w:eastAsia="Arial" w:hAnsi="Arial"/>
          <w:b/>
          <w:bCs/>
          <w:sz w:val="21"/>
          <w:szCs w:val="21"/>
        </w:rPr>
        <w:t xml:space="preserve">4.  Support after go-live</w:t>
      </w:r>
      <w:r>
        <w:rPr>
          <w:rFonts w:ascii="Arial" w:cs="Arial" w:eastAsia="Arial" w:hAnsi="Arial"/>
          <w:color w:val="555555"/>
          <w:sz w:val="21"/>
          <w:szCs w:val="21"/>
        </w:rPr>
        <w:t xml:space="preserve">  -  </w:t>
      </w:r>
      <w:r>
        <w:rPr>
          <w:rFonts w:ascii="Arial" w:cs="Arial" w:eastAsia="Arial" w:hAnsi="Arial"/>
          <w:color w:val="555555"/>
          <w:sz w:val="21"/>
          <w:szCs w:val="21"/>
        </w:rPr>
        <w:t xml:space="preserve">Your build team stays on after launch under agreed service levels, and one named manager takes escalations.</w:t>
      </w:r>
    </w:p>
    <w:p>
      <w:pPr>
        <w:spacing w:after="120"/>
      </w:pPr>
    </w:p>
    <w:p>
      <w:pPr>
        <w:spacing w:after="120" w:before="320"/>
      </w:pPr>
      <w:r>
        <w:rPr>
          <w:rFonts w:ascii="Arial" w:cs="Arial" w:eastAsia="Arial" w:hAnsi="Arial"/>
          <w:b/>
          <w:bCs/>
          <w:color w:val="0A1F33"/>
          <w:sz w:val="28"/>
          <w:szCs w:val="28"/>
        </w:rPr>
        <w:t xml:space="preserve">11.  FAQ</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Eyebrow: </w:t>
      </w:r>
      <w:r>
        <w:rPr>
          <w:rFonts w:ascii="Arial" w:cs="Arial" w:eastAsia="Arial" w:hAnsi="Arial"/>
          <w:sz w:val="21"/>
          <w:szCs w:val="21"/>
        </w:rPr>
        <w:t xml:space="preserve">Common questions</w:t>
      </w:r>
    </w:p>
    <w:p>
      <w:pPr>
        <w:spacing w:after="80"/>
        <w:ind w:left="216"/>
      </w:pPr>
      <w:r>
        <w:rPr>
          <w:rFonts w:ascii="Arial" w:cs="Arial" w:eastAsia="Arial" w:hAnsi="Arial"/>
          <w:color w:val="0E9488"/>
        </w:rPr>
        <w:t xml:space="preserve">●  </w:t>
      </w:r>
      <w:r>
        <w:rPr>
          <w:rFonts w:ascii="Arial" w:cs="Arial" w:eastAsia="Arial" w:hAnsi="Arial"/>
          <w:b/>
          <w:bCs/>
          <w:sz w:val="21"/>
          <w:szCs w:val="21"/>
        </w:rPr>
        <w:t xml:space="preserve">H2: </w:t>
      </w:r>
      <w:r>
        <w:rPr>
          <w:rFonts w:ascii="Arial" w:cs="Arial" w:eastAsia="Arial" w:hAnsi="Arial"/>
          <w:sz w:val="21"/>
          <w:szCs w:val="21"/>
        </w:rPr>
        <w:t xml:space="preserve">Questions field service teams ask us</w:t>
      </w:r>
    </w:p>
    <w:p>
      <w:pPr>
        <w:spacing w:after="40" w:before="160"/>
      </w:pPr>
      <w:r>
        <w:rPr>
          <w:rFonts w:ascii="Arial" w:cs="Arial" w:eastAsia="Arial" w:hAnsi="Arial"/>
          <w:b/>
          <w:bCs/>
          <w:sz w:val="21"/>
          <w:szCs w:val="21"/>
        </w:rPr>
        <w:t xml:space="preserve">Q: How does SugarAI share parts, pricing and invoice data with our ERP?</w:t>
      </w:r>
    </w:p>
    <w:p>
      <w:pPr>
        <w:spacing w:after="80"/>
      </w:pPr>
      <w:r>
        <w:rPr>
          <w:rFonts w:ascii="Arial" w:cs="Arial" w:eastAsia="Arial" w:hAnsi="Arial"/>
          <w:color w:val="555555"/>
          <w:sz w:val="21"/>
          <w:szCs w:val="21"/>
        </w:rPr>
        <w:t xml:space="preserve">Through integration. Your ERP owns stock, pricing and invoicing, while SugarAI, as your field service CRM software, pulls in parts and prices, then returns completed work orders for billing.</w:t>
      </w:r>
    </w:p>
    <w:p>
      <w:pPr>
        <w:spacing w:after="40" w:before="160"/>
      </w:pPr>
      <w:r>
        <w:rPr>
          <w:rFonts w:ascii="Arial" w:cs="Arial" w:eastAsia="Arial" w:hAnsi="Arial"/>
          <w:b/>
          <w:bCs/>
          <w:sz w:val="21"/>
          <w:szCs w:val="21"/>
        </w:rPr>
        <w:t xml:space="preserve">Q: How do technicians use SugarAI on site?</w:t>
      </w:r>
    </w:p>
    <w:p>
      <w:pPr>
        <w:spacing w:after="80"/>
      </w:pPr>
      <w:r>
        <w:rPr>
          <w:rFonts w:ascii="Arial" w:cs="Arial" w:eastAsia="Arial" w:hAnsi="Arial"/>
          <w:color w:val="555555"/>
          <w:sz w:val="21"/>
          <w:szCs w:val="21"/>
        </w:rPr>
        <w:t xml:space="preserve">Technicians work from their phone: the day's jobs, the site address for directions, the asset's history and a checklist that takes photos, readings and the customer's signature.</w:t>
      </w:r>
    </w:p>
    <w:p>
      <w:pPr>
        <w:spacing w:after="40" w:before="160"/>
      </w:pPr>
      <w:r>
        <w:rPr>
          <w:rFonts w:ascii="Arial" w:cs="Arial" w:eastAsia="Arial" w:hAnsi="Arial"/>
          <w:b/>
          <w:bCs/>
          <w:sz w:val="21"/>
          <w:szCs w:val="21"/>
        </w:rPr>
        <w:t xml:space="preserve">Q: How are SLAs and contract entitlements tracked?</w:t>
      </w:r>
    </w:p>
    <w:p>
      <w:pPr>
        <w:spacing w:after="80"/>
      </w:pPr>
      <w:r>
        <w:rPr>
          <w:rFonts w:ascii="Arial" w:cs="Arial" w:eastAsia="Arial" w:hAnsi="Arial"/>
          <w:color w:val="555555"/>
          <w:sz w:val="21"/>
          <w:szCs w:val="21"/>
        </w:rPr>
        <w:t xml:space="preserve">Response and resolution targets come from the customer's contract entitlements. Every work order runs its own SLA clock, with alerts before a breach and attainment reported per contract.</w:t>
      </w:r>
    </w:p>
    <w:p>
      <w:pPr>
        <w:spacing w:after="40" w:before="160"/>
      </w:pPr>
      <w:r>
        <w:rPr>
          <w:rFonts w:ascii="Arial" w:cs="Arial" w:eastAsia="Arial" w:hAnsi="Arial"/>
          <w:b/>
          <w:bCs/>
          <w:sz w:val="21"/>
          <w:szCs w:val="21"/>
        </w:rPr>
        <w:t xml:space="preserve">Q: Can we manage subcontractors alongside our own technicians?</w:t>
      </w:r>
    </w:p>
    <w:p>
      <w:pPr>
        <w:spacing w:after="80"/>
      </w:pPr>
      <w:r>
        <w:rPr>
          <w:rFonts w:ascii="Arial" w:cs="Arial" w:eastAsia="Arial" w:hAnsi="Arial"/>
          <w:color w:val="555555"/>
          <w:sz w:val="21"/>
          <w:szCs w:val="21"/>
        </w:rPr>
        <w:t xml:space="preserve">Yes. Each subcontractor has a record with skills and rates, closes jobs through a portal and follows your job sheet standard, so customers see one provider.</w:t>
      </w:r>
    </w:p>
    <w:p>
      <w:pPr>
        <w:spacing w:after="40" w:before="160"/>
      </w:pPr>
      <w:r>
        <w:rPr>
          <w:rFonts w:ascii="Arial" w:cs="Arial" w:eastAsia="Arial" w:hAnsi="Arial"/>
          <w:b/>
          <w:bCs/>
          <w:sz w:val="21"/>
          <w:szCs w:val="21"/>
        </w:rPr>
        <w:t xml:space="preserve">Q: What happens when a job cannot be fixed on the first visit?</w:t>
      </w:r>
    </w:p>
    <w:p>
      <w:pPr>
        <w:spacing w:after="80"/>
      </w:pPr>
      <w:r>
        <w:rPr>
          <w:rFonts w:ascii="Arial" w:cs="Arial" w:eastAsia="Arial" w:hAnsi="Arial"/>
          <w:color w:val="555555"/>
          <w:sz w:val="21"/>
          <w:szCs w:val="21"/>
        </w:rPr>
        <w:t xml:space="preserve">A linked follow-up work order opens, recording why: parts, access or skills. Parts requests go to stores or the ERP, and first-time fix reports show which assets need attention.</w:t>
      </w:r>
    </w:p>
    <w:p>
      <w:pPr>
        <w:spacing w:after="40" w:before="160"/>
      </w:pPr>
      <w:r>
        <w:rPr>
          <w:rFonts w:ascii="Arial" w:cs="Arial" w:eastAsia="Arial" w:hAnsi="Arial"/>
          <w:b/>
          <w:bCs/>
          <w:sz w:val="21"/>
          <w:szCs w:val="21"/>
        </w:rPr>
        <w:t xml:space="preserve">Q: Can SugarAI plan preventive maintenance as well as reactive call-outs?</w:t>
      </w:r>
    </w:p>
    <w:p>
      <w:pPr>
        <w:spacing w:after="80"/>
      </w:pPr>
      <w:r>
        <w:rPr>
          <w:rFonts w:ascii="Arial" w:cs="Arial" w:eastAsia="Arial" w:hAnsi="Arial"/>
          <w:color w:val="555555"/>
          <w:sz w:val="21"/>
          <w:szCs w:val="21"/>
        </w:rPr>
        <w:t xml:space="preserve">Yes. Preventive visits are generated from contract schedules and asset types, alongside reactive cases, so planners see both kinds of work in one place.</w:t>
      </w:r>
    </w:p>
    <w:p>
      <w:pPr>
        <w:spacing w:after="40" w:before="160"/>
      </w:pPr>
      <w:r>
        <w:rPr>
          <w:rFonts w:ascii="Arial" w:cs="Arial" w:eastAsia="Arial" w:hAnsi="Arial"/>
          <w:b/>
          <w:bCs/>
          <w:sz w:val="21"/>
          <w:szCs w:val="21"/>
        </w:rPr>
        <w:t xml:space="preserve">Q: We already run SugarCRM. Does SugarCRM field service management carry over to SugarAI?</w:t>
      </w:r>
    </w:p>
    <w:p>
      <w:pPr>
        <w:spacing w:after="80"/>
      </w:pPr>
      <w:r>
        <w:rPr>
          <w:rFonts w:ascii="Arial" w:cs="Arial" w:eastAsia="Arial" w:hAnsi="Arial"/>
          <w:color w:val="555555"/>
          <w:sz w:val="21"/>
          <w:szCs w:val="21"/>
        </w:rPr>
        <w:t xml:space="preserve">Yes. SugarCRM became SugarAI in April 2026, and existing instances keep running. We can add field service capabilities to yours, or audit and clean up an implementation that stalled.</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2026-09-24T12:22:56.627Z</dcterms:created>
  <dcterms:modified xsi:type="dcterms:W3CDTF">2026-09-24T12:22:56.627Z</dcterms:modified>
</cp:coreProperties>
</file>

<file path=docProps/custom.xml><?xml version="1.0" encoding="utf-8"?>
<Properties xmlns="http://schemas.openxmlformats.org/officeDocument/2006/custom-properties" xmlns:vt="http://schemas.openxmlformats.org/officeDocument/2006/docPropsVTypes"/>
</file>