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8761C" w:sz="12" w:space="0"/>
        </w:pBdr>
        <w:spacing w:after="80"/>
      </w:pPr>
      <w:r>
        <w:rPr>
          <w:rFonts w:ascii="Arial" w:cs="Arial" w:eastAsia="Arial" w:hAnsi="Arial"/>
          <w:b/>
          <w:bCs/>
          <w:color w:val="10538F"/>
          <w:sz w:val="40"/>
          <w:szCs w:val="40"/>
        </w:rPr>
        <w:t xml:space="preserve">Power BI Services Homepage</w:t>
      </w:r>
    </w:p>
    <w:p>
      <w:pPr>
        <w:pBdr>
          <w:bottom w:val="single" w:color="B8761C" w:sz="12" w:space="0"/>
        </w:pBdr>
        <w:spacing w:after="80" w:before="320"/>
      </w:pPr>
      <w:r>
        <w:rPr>
          <w:rFonts w:ascii="Arial" w:cs="Arial" w:eastAsia="Arial" w:hAnsi="Arial"/>
          <w:b/>
          <w:bCs/>
          <w:color w:val="10538F"/>
          <w:sz w:val="30"/>
          <w:szCs w:val="30"/>
        </w:rPr>
        <w:t xml:space="preserve">Page metadata &amp; SEO</w:t>
      </w:r>
    </w:p>
    <w:tbl>
      <w:tblPr>
        <w:tblW w:type="dxa" w:w="9800"/>
        <w:tblBorders>
          <w:top w:val="single" w:color="000000" w:sz="4"/>
          <w:left w:val="single" w:color="000000" w:sz="4"/>
          <w:bottom w:val="single" w:color="000000" w:sz="4"/>
          <w:right w:val="single" w:color="000000" w:sz="4"/>
          <w:insideH w:val="single" w:color="000000" w:sz="4"/>
          <w:insideV w:val="single" w:color="000000" w:sz="4"/>
        </w:tblBorders>
      </w:tblPr>
      <w:tblGrid>
        <w:gridCol w:w="2475"/>
        <w:gridCol w:w="7305"/>
      </w:tblGrid>
      <w:tr>
        <w:tc>
          <w:tcPr>
            <w:tcW w:type="dxa" w:w="2475"/>
            <w:shd w:fill="10538F" w:color="auto" w:val="clear"/>
          </w:tcPr>
          <w:p>
            <w:r>
              <w:rPr>
                <w:rFonts w:ascii="Arial" w:cs="Arial" w:eastAsia="Arial" w:hAnsi="Arial"/>
                <w:b/>
                <w:bCs/>
                <w:color w:val="FFFFFF"/>
                <w:sz w:val="19"/>
                <w:szCs w:val="19"/>
              </w:rPr>
              <w:t xml:space="preserve">Element</w:t>
            </w:r>
          </w:p>
        </w:tc>
        <w:tc>
          <w:tcPr>
            <w:tcW w:type="dxa" w:w="7305"/>
            <w:shd w:fill="10538F" w:color="auto" w:val="clear"/>
          </w:tcPr>
          <w:p>
            <w:r>
              <w:rPr>
                <w:rFonts w:ascii="Arial" w:cs="Arial" w:eastAsia="Arial" w:hAnsi="Arial"/>
                <w:b/>
                <w:bCs/>
                <w:color w:val="FFFFFF"/>
                <w:sz w:val="19"/>
                <w:szCs w:val="19"/>
              </w:rPr>
              <w:t xml:space="preserve">Content</w:t>
            </w:r>
          </w:p>
        </w:tc>
      </w:tr>
      <w:tr>
        <w:tc>
          <w:tcPr>
            <w:tcW w:type="dxa" w:w="2475"/>
          </w:tcPr>
          <w:p>
            <w:r>
              <w:rPr>
                <w:rFonts w:ascii="Arial" w:cs="Arial" w:eastAsia="Arial" w:hAnsi="Arial"/>
                <w:b w:val="false"/>
                <w:bCs w:val="false"/>
                <w:color w:val="0A1F33"/>
                <w:sz w:val="18"/>
                <w:szCs w:val="18"/>
              </w:rPr>
              <w:t xml:space="preserve">Page title</w:t>
            </w:r>
          </w:p>
        </w:tc>
        <w:tc>
          <w:tcPr>
            <w:tcW w:type="dxa" w:w="7305"/>
          </w:tcPr>
          <w:p>
            <w:r>
              <w:rPr>
                <w:rFonts w:ascii="Arial" w:cs="Arial" w:eastAsia="Arial" w:hAnsi="Arial"/>
                <w:b w:val="false"/>
                <w:bCs w:val="false"/>
                <w:color w:val="0A1F33"/>
                <w:sz w:val="18"/>
                <w:szCs w:val="18"/>
              </w:rPr>
              <w:t xml:space="preserve">Power BI Service &amp; Consulting Partner in the UAE | HLB HAMT</w:t>
            </w:r>
          </w:p>
        </w:tc>
      </w:tr>
      <w:tr>
        <w:tc>
          <w:tcPr>
            <w:tcW w:type="dxa" w:w="2475"/>
          </w:tcPr>
          <w:p>
            <w:r>
              <w:rPr>
                <w:rFonts w:ascii="Arial" w:cs="Arial" w:eastAsia="Arial" w:hAnsi="Arial"/>
                <w:b w:val="false"/>
                <w:bCs w:val="false"/>
                <w:color w:val="0A1F33"/>
                <w:sz w:val="18"/>
                <w:szCs w:val="18"/>
              </w:rPr>
              <w:t xml:space="preserve">Meta description</w:t>
            </w:r>
          </w:p>
        </w:tc>
        <w:tc>
          <w:tcPr>
            <w:tcW w:type="dxa" w:w="7305"/>
          </w:tcPr>
          <w:p>
            <w:r>
              <w:rPr>
                <w:rFonts w:ascii="Arial" w:cs="Arial" w:eastAsia="Arial" w:hAnsi="Arial"/>
                <w:b w:val="false"/>
                <w:bCs w:val="false"/>
                <w:color w:val="0A1F33"/>
                <w:sz w:val="18"/>
                <w:szCs w:val="18"/>
              </w:rPr>
              <w:t xml:space="preserve">Power BI service from HLB HAMT: consulting, data preparation, Arabic-ready dashboards, training and a 7-day proof of concept for businesses in the UAE and GCC.</w:t>
            </w:r>
          </w:p>
        </w:tc>
      </w:tr>
      <w:tr>
        <w:tc>
          <w:tcPr>
            <w:tcW w:type="dxa" w:w="2475"/>
          </w:tcPr>
          <w:p>
            <w:r>
              <w:rPr>
                <w:rFonts w:ascii="Arial" w:cs="Arial" w:eastAsia="Arial" w:hAnsi="Arial"/>
                <w:b w:val="false"/>
                <w:bCs w:val="false"/>
                <w:color w:val="0A1F33"/>
                <w:sz w:val="18"/>
                <w:szCs w:val="18"/>
              </w:rPr>
              <w:t xml:space="preserve">Primary keyword</w:t>
            </w:r>
          </w:p>
        </w:tc>
        <w:tc>
          <w:tcPr>
            <w:tcW w:type="dxa" w:w="7305"/>
          </w:tcPr>
          <w:p>
            <w:r>
              <w:rPr>
                <w:rFonts w:ascii="Arial" w:cs="Arial" w:eastAsia="Arial" w:hAnsi="Arial"/>
                <w:b w:val="false"/>
                <w:bCs w:val="false"/>
                <w:color w:val="0A1F33"/>
                <w:sz w:val="18"/>
                <w:szCs w:val="18"/>
              </w:rPr>
              <w:t xml:space="preserve">Power BI service</w:t>
            </w:r>
          </w:p>
        </w:tc>
      </w:tr>
      <w:tr>
        <w:tc>
          <w:tcPr>
            <w:tcW w:type="dxa" w:w="2475"/>
          </w:tcPr>
          <w:p>
            <w:r>
              <w:rPr>
                <w:rFonts w:ascii="Arial" w:cs="Arial" w:eastAsia="Arial" w:hAnsi="Arial"/>
                <w:b w:val="false"/>
                <w:bCs w:val="false"/>
                <w:color w:val="0A1F33"/>
                <w:sz w:val="18"/>
                <w:szCs w:val="18"/>
              </w:rPr>
              <w:t xml:space="preserve">Secondary keywords</w:t>
            </w:r>
          </w:p>
        </w:tc>
        <w:tc>
          <w:tcPr>
            <w:tcW w:type="dxa" w:w="7305"/>
          </w:tcPr>
          <w:p>
            <w:r>
              <w:rPr>
                <w:rFonts w:ascii="Arial" w:cs="Arial" w:eastAsia="Arial" w:hAnsi="Arial"/>
                <w:b w:val="false"/>
                <w:bCs w:val="false"/>
                <w:color w:val="0A1F33"/>
                <w:sz w:val="18"/>
                <w:szCs w:val="18"/>
              </w:rPr>
              <w:t xml:space="preserve">Certified Power BI Partner in UAE (not placed, see brief); Power BI consulting company; Power BI solutions expert; Power BI Services</w:t>
            </w:r>
          </w:p>
        </w:tc>
      </w:tr>
      <w:tr>
        <w:tc>
          <w:tcPr>
            <w:tcW w:type="dxa" w:w="2475"/>
          </w:tcPr>
          <w:p>
            <w:r>
              <w:rPr>
                <w:rFonts w:ascii="Arial" w:cs="Arial" w:eastAsia="Arial" w:hAnsi="Arial"/>
                <w:b w:val="false"/>
                <w:bCs w:val="false"/>
                <w:color w:val="0A1F33"/>
                <w:sz w:val="18"/>
                <w:szCs w:val="18"/>
              </w:rPr>
              <w:t xml:space="preserve">Breadcrumb</w:t>
            </w:r>
          </w:p>
        </w:tc>
        <w:tc>
          <w:tcPr>
            <w:tcW w:type="dxa" w:w="7305"/>
          </w:tcPr>
          <w:p>
            <w:r>
              <w:rPr>
                <w:rFonts w:ascii="Arial" w:cs="Arial" w:eastAsia="Arial" w:hAnsi="Arial"/>
                <w:b w:val="false"/>
                <w:bCs w:val="false"/>
                <w:color w:val="0A1F33"/>
                <w:sz w:val="18"/>
                <w:szCs w:val="18"/>
              </w:rPr>
              <w:t xml:space="preserve">Home › Services › Technology Consulting Services › Digital Transformation &amp; Analytics › Data Analytics &amp; Business Intelligence (Power BI)</w:t>
            </w:r>
          </w:p>
        </w:tc>
      </w:tr>
    </w:tbl>
    <w:p>
      <w:pPr>
        <w:spacing w:after="120"/>
      </w:pPr>
    </w:p>
    <w:p>
      <w:pPr>
        <w:pBdr>
          <w:bottom w:val="single" w:color="B8761C" w:sz="12" w:space="0"/>
        </w:pBdr>
        <w:spacing w:after="80" w:before="320"/>
      </w:pPr>
      <w:r>
        <w:rPr>
          <w:rFonts w:ascii="Arial" w:cs="Arial" w:eastAsia="Arial" w:hAnsi="Arial"/>
          <w:b/>
          <w:bCs/>
          <w:color w:val="10538F"/>
          <w:sz w:val="30"/>
          <w:szCs w:val="30"/>
        </w:rPr>
        <w:t xml:space="preserve">1. Hero</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Eyebrow: </w:t>
      </w:r>
      <w:r>
        <w:rPr>
          <w:rFonts w:ascii="Arial" w:cs="Arial" w:eastAsia="Arial" w:hAnsi="Arial"/>
          <w:color w:val="0A1F33"/>
          <w:sz w:val="20"/>
          <w:szCs w:val="20"/>
        </w:rPr>
        <w:t xml:space="preserve">Microsoft Power BI</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H1: </w:t>
      </w:r>
      <w:r>
        <w:rPr>
          <w:rFonts w:ascii="Arial" w:cs="Arial" w:eastAsia="Arial" w:hAnsi="Arial"/>
          <w:color w:val="0A1F33"/>
          <w:sz w:val="20"/>
          <w:szCs w:val="20"/>
        </w:rPr>
        <w:t xml:space="preserve">Power BI Service Partner for Smarter Decisions Across the UAE</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Intro paragraph: </w:t>
      </w:r>
      <w:r>
        <w:rPr>
          <w:rFonts w:ascii="Arial" w:cs="Arial" w:eastAsia="Arial" w:hAnsi="Arial"/>
          <w:color w:val="0A1F33"/>
          <w:sz w:val="20"/>
          <w:szCs w:val="20"/>
        </w:rPr>
        <w:t xml:space="preserve">HLB HAMT designs, builds and runs your Power BI service, turning ERP, CRM, finance and spreadsheet data into dashboards your leadership team trusts. Our accountants and data engineers work on the same team, so reports built for organisations across the Emirates and the wider GCC follow the accounting logic their auditors apply.</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Buttons: </w:t>
      </w:r>
      <w:r>
        <w:rPr>
          <w:rFonts w:ascii="Arial" w:cs="Arial" w:eastAsia="Arial" w:hAnsi="Arial"/>
          <w:color w:val="0A1F33"/>
          <w:sz w:val="20"/>
          <w:szCs w:val="20"/>
        </w:rPr>
        <w:t xml:space="preserve">Book a Power BI consultation (primary) · See the PowerUP! offer (secondary)</w:t>
      </w:r>
    </w:p>
    <w:p>
      <w:pPr>
        <w:spacing w:after="60" w:before="160"/>
      </w:pPr>
      <w:r>
        <w:rPr>
          <w:rFonts w:ascii="Arial" w:cs="Arial" w:eastAsia="Arial" w:hAnsi="Arial"/>
          <w:b/>
          <w:bCs/>
          <w:color w:val="000000"/>
          <w:sz w:val="24"/>
          <w:szCs w:val="24"/>
        </w:rPr>
        <w:t xml:space="preserve">Hero side panel</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Heading: </w:t>
      </w:r>
      <w:r>
        <w:rPr>
          <w:rFonts w:ascii="Arial" w:cs="Arial" w:eastAsia="Arial" w:hAnsi="Arial"/>
          <w:color w:val="0A1F33"/>
          <w:sz w:val="20"/>
          <w:szCs w:val="20"/>
        </w:rPr>
        <w:t xml:space="preserve">One semantic model, one version of the numbers</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Sub-line: </w:t>
      </w:r>
      <w:r>
        <w:rPr>
          <w:rFonts w:ascii="Arial" w:cs="Arial" w:eastAsia="Arial" w:hAnsi="Arial"/>
          <w:color w:val="0A1F33"/>
          <w:sz w:val="20"/>
          <w:szCs w:val="20"/>
        </w:rPr>
        <w:t xml:space="preserve">A revenue figure means the same thing in every meeting, whether a director, an analyst or someone out in the field is reading it.</w:t>
      </w:r>
    </w:p>
    <w:tbl>
      <w:tblPr>
        <w:tblW w:type="dxa" w:w="9800"/>
        <w:tblBorders>
          <w:top w:val="single" w:color="000000" w:sz="4"/>
          <w:left w:val="single" w:color="000000" w:sz="4"/>
          <w:bottom w:val="single" w:color="000000" w:sz="4"/>
          <w:right w:val="single" w:color="000000" w:sz="4"/>
          <w:insideH w:val="single" w:color="000000" w:sz="4"/>
          <w:insideV w:val="single" w:color="000000" w:sz="4"/>
        </w:tblBorders>
      </w:tblPr>
      <w:tblGrid>
        <w:gridCol w:w="2475"/>
        <w:gridCol w:w="7305"/>
      </w:tblGrid>
      <w:tr>
        <w:tc>
          <w:tcPr>
            <w:tcW w:type="dxa" w:w="2475"/>
            <w:shd w:fill="10538F" w:color="auto" w:val="clear"/>
          </w:tcPr>
          <w:p>
            <w:r>
              <w:rPr>
                <w:rFonts w:ascii="Arial" w:cs="Arial" w:eastAsia="Arial" w:hAnsi="Arial"/>
                <w:b/>
                <w:bCs/>
                <w:color w:val="FFFFFF"/>
                <w:sz w:val="19"/>
                <w:szCs w:val="19"/>
              </w:rPr>
              <w:t xml:space="preserve">Item</w:t>
            </w:r>
          </w:p>
        </w:tc>
        <w:tc>
          <w:tcPr>
            <w:tcW w:type="dxa" w:w="7305"/>
            <w:shd w:fill="10538F" w:color="auto" w:val="clear"/>
          </w:tcPr>
          <w:p>
            <w:r>
              <w:rPr>
                <w:rFonts w:ascii="Arial" w:cs="Arial" w:eastAsia="Arial" w:hAnsi="Arial"/>
                <w:b/>
                <w:bCs/>
                <w:color w:val="FFFFFF"/>
                <w:sz w:val="19"/>
                <w:szCs w:val="19"/>
              </w:rPr>
              <w:t xml:space="preserve">Copy</w:t>
            </w:r>
          </w:p>
        </w:tc>
      </w:tr>
      <w:tr>
        <w:tc>
          <w:tcPr>
            <w:tcW w:type="dxa" w:w="2475"/>
          </w:tcPr>
          <w:p>
            <w:r>
              <w:rPr>
                <w:rFonts w:ascii="Arial" w:cs="Arial" w:eastAsia="Arial" w:hAnsi="Arial"/>
                <w:b w:val="false"/>
                <w:bCs w:val="false"/>
                <w:color w:val="0A1F33"/>
                <w:sz w:val="18"/>
                <w:szCs w:val="18"/>
              </w:rPr>
              <w:t xml:space="preserve">Leadership</w:t>
            </w:r>
          </w:p>
        </w:tc>
        <w:tc>
          <w:tcPr>
            <w:tcW w:type="dxa" w:w="7305"/>
          </w:tcPr>
          <w:p>
            <w:r>
              <w:rPr>
                <w:rFonts w:ascii="Arial" w:cs="Arial" w:eastAsia="Arial" w:hAnsi="Arial"/>
                <w:b w:val="false"/>
                <w:bCs w:val="false"/>
                <w:color w:val="0A1F33"/>
                <w:sz w:val="18"/>
                <w:szCs w:val="18"/>
              </w:rPr>
              <w:t xml:space="preserve">A single-page dashboard holding the handful of KPIs your executives check before the first meeting of the day.</w:t>
            </w:r>
          </w:p>
        </w:tc>
      </w:tr>
      <w:tr>
        <w:tc>
          <w:tcPr>
            <w:tcW w:type="dxa" w:w="2475"/>
          </w:tcPr>
          <w:p>
            <w:r>
              <w:rPr>
                <w:rFonts w:ascii="Arial" w:cs="Arial" w:eastAsia="Arial" w:hAnsi="Arial"/>
                <w:b w:val="false"/>
                <w:bCs w:val="false"/>
                <w:color w:val="0A1F33"/>
                <w:sz w:val="18"/>
                <w:szCs w:val="18"/>
              </w:rPr>
              <w:t xml:space="preserve">Analysts</w:t>
            </w:r>
          </w:p>
        </w:tc>
        <w:tc>
          <w:tcPr>
            <w:tcW w:type="dxa" w:w="7305"/>
          </w:tcPr>
          <w:p>
            <w:r>
              <w:rPr>
                <w:rFonts w:ascii="Arial" w:cs="Arial" w:eastAsia="Arial" w:hAnsi="Arial"/>
                <w:b w:val="false"/>
                <w:bCs w:val="false"/>
                <w:color w:val="0A1F33"/>
                <w:sz w:val="18"/>
                <w:szCs w:val="18"/>
              </w:rPr>
              <w:t xml:space="preserve">Multi-page reports with filters and drill-downs that explain why a number moved, not only that it did.</w:t>
            </w:r>
          </w:p>
        </w:tc>
      </w:tr>
      <w:tr>
        <w:tc>
          <w:tcPr>
            <w:tcW w:type="dxa" w:w="2475"/>
          </w:tcPr>
          <w:p>
            <w:r>
              <w:rPr>
                <w:rFonts w:ascii="Arial" w:cs="Arial" w:eastAsia="Arial" w:hAnsi="Arial"/>
                <w:b w:val="false"/>
                <w:bCs w:val="false"/>
                <w:color w:val="0A1F33"/>
                <w:sz w:val="18"/>
                <w:szCs w:val="18"/>
              </w:rPr>
              <w:t xml:space="preserve">Teams on the move</w:t>
            </w:r>
          </w:p>
        </w:tc>
        <w:tc>
          <w:tcPr>
            <w:tcW w:type="dxa" w:w="7305"/>
          </w:tcPr>
          <w:p>
            <w:r>
              <w:rPr>
                <w:rFonts w:ascii="Arial" w:cs="Arial" w:eastAsia="Arial" w:hAnsi="Arial"/>
                <w:b w:val="false"/>
                <w:bCs w:val="false"/>
                <w:color w:val="0A1F33"/>
                <w:sz w:val="18"/>
                <w:szCs w:val="18"/>
              </w:rPr>
              <w:t xml:space="preserve">A regional manager reviews yesterday's figures and any alerts on iOS or Android between site visits.</w:t>
            </w:r>
          </w:p>
        </w:tc>
      </w:tr>
    </w:tbl>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Deployment: </w:t>
      </w:r>
      <w:r>
        <w:rPr>
          <w:rFonts w:ascii="Arial" w:cs="Arial" w:eastAsia="Arial" w:hAnsi="Arial"/>
          <w:color w:val="0A1F33"/>
          <w:sz w:val="20"/>
          <w:szCs w:val="20"/>
        </w:rPr>
        <w:t xml:space="preserve">Data can stay in-country in Microsoft's UAE North (Dubai) or UAE Central (Abu Dhabi) cloud regions. The Dubai region runs the full Fabric platform; the Abu Dhabi region supports Power BI only. [9]</w:t>
      </w:r>
    </w:p>
    <w:p>
      <w:pPr>
        <w:spacing w:after="120"/>
      </w:pPr>
    </w:p>
    <w:p>
      <w:pPr>
        <w:pBdr>
          <w:bottom w:val="single" w:color="B8761C" w:sz="12" w:space="0"/>
        </w:pBdr>
        <w:spacing w:after="80" w:before="320"/>
      </w:pPr>
      <w:r>
        <w:rPr>
          <w:rFonts w:ascii="Arial" w:cs="Arial" w:eastAsia="Arial" w:hAnsi="Arial"/>
          <w:b/>
          <w:bCs/>
          <w:color w:val="10538F"/>
          <w:sz w:val="30"/>
          <w:szCs w:val="30"/>
        </w:rPr>
        <w:t xml:space="preserve">2. Why Power BI</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Eyebrow: </w:t>
      </w:r>
      <w:r>
        <w:rPr>
          <w:rFonts w:ascii="Arial" w:cs="Arial" w:eastAsia="Arial" w:hAnsi="Arial"/>
          <w:color w:val="0A1F33"/>
          <w:sz w:val="20"/>
          <w:szCs w:val="20"/>
        </w:rPr>
        <w:t xml:space="preserve">Why Power BI</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Intro: </w:t>
      </w:r>
      <w:r>
        <w:rPr>
          <w:rFonts w:ascii="Arial" w:cs="Arial" w:eastAsia="Arial" w:hAnsi="Arial"/>
          <w:color w:val="0A1F33"/>
          <w:sz w:val="20"/>
          <w:szCs w:val="20"/>
        </w:rPr>
        <w:t xml:space="preserve">Microsoft: named a Leader in the 2026 Gartner® Magic Quadrant™ for Analytics and BI Platforms for the 19th consecutive year. [3]</w:t>
      </w:r>
    </w:p>
    <w:p>
      <w:pPr>
        <w:spacing w:after="120"/>
        <w:jc w:val="both"/>
      </w:pPr>
      <w:r>
        <w:rPr>
          <w:rFonts w:ascii="Arial" w:cs="Arial" w:eastAsia="Arial" w:hAnsi="Arial"/>
          <w:color w:val="0A1F33"/>
          <w:sz w:val="20"/>
          <w:szCs w:val="20"/>
        </w:rPr>
        <w:t xml:space="preserve">Stat row:</w:t>
      </w:r>
    </w:p>
    <w:tbl>
      <w:tblPr>
        <w:tblW w:type="dxa" w:w="9800"/>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2600"/>
        <w:gridCol w:w="5300"/>
      </w:tblGrid>
      <w:tr>
        <w:tc>
          <w:tcPr>
            <w:tcW w:type="dxa" w:w="1900"/>
            <w:shd w:fill="10538F" w:color="auto" w:val="clear"/>
          </w:tcPr>
          <w:p>
            <w:r>
              <w:rPr>
                <w:rFonts w:ascii="Arial" w:cs="Arial" w:eastAsia="Arial" w:hAnsi="Arial"/>
                <w:b/>
                <w:bCs/>
                <w:color w:val="FFFFFF"/>
                <w:sz w:val="19"/>
                <w:szCs w:val="19"/>
              </w:rPr>
              <w:t xml:space="preserve">Figure</w:t>
            </w:r>
          </w:p>
        </w:tc>
        <w:tc>
          <w:tcPr>
            <w:tcW w:type="dxa" w:w="2600"/>
            <w:shd w:fill="10538F" w:color="auto" w:val="clear"/>
          </w:tcPr>
          <w:p>
            <w:r>
              <w:rPr>
                <w:rFonts w:ascii="Arial" w:cs="Arial" w:eastAsia="Arial" w:hAnsi="Arial"/>
                <w:b/>
                <w:bCs/>
                <w:color w:val="FFFFFF"/>
                <w:sz w:val="19"/>
                <w:szCs w:val="19"/>
              </w:rPr>
              <w:t xml:space="preserve">Label</w:t>
            </w:r>
          </w:p>
        </w:tc>
        <w:tc>
          <w:tcPr>
            <w:tcW w:type="dxa" w:w="5300"/>
            <w:shd w:fill="10538F" w:color="auto" w:val="clear"/>
          </w:tcPr>
          <w:p>
            <w:r>
              <w:rPr>
                <w:rFonts w:ascii="Arial" w:cs="Arial" w:eastAsia="Arial" w:hAnsi="Arial"/>
                <w:b/>
                <w:bCs/>
                <w:color w:val="FFFFFF"/>
                <w:sz w:val="19"/>
                <w:szCs w:val="19"/>
              </w:rPr>
              <w:t xml:space="preserve">Description</w:t>
            </w:r>
          </w:p>
        </w:tc>
      </w:tr>
      <w:tr>
        <w:tc>
          <w:tcPr>
            <w:tcW w:type="dxa" w:w="1900"/>
          </w:tcPr>
          <w:p>
            <w:r>
              <w:rPr>
                <w:rFonts w:ascii="Arial" w:cs="Arial" w:eastAsia="Arial" w:hAnsi="Arial"/>
                <w:b w:val="false"/>
                <w:bCs w:val="false"/>
                <w:color w:val="0A1F33"/>
                <w:sz w:val="18"/>
                <w:szCs w:val="18"/>
              </w:rPr>
              <w:t xml:space="preserve">200+</w:t>
            </w:r>
          </w:p>
        </w:tc>
        <w:tc>
          <w:tcPr>
            <w:tcW w:type="dxa" w:w="2600"/>
          </w:tcPr>
          <w:p>
            <w:r>
              <w:rPr>
                <w:rFonts w:ascii="Arial" w:cs="Arial" w:eastAsia="Arial" w:hAnsi="Arial"/>
                <w:b w:val="false"/>
                <w:bCs w:val="false"/>
                <w:color w:val="0A1F33"/>
                <w:sz w:val="18"/>
                <w:szCs w:val="18"/>
              </w:rPr>
              <w:t xml:space="preserve">Data connectors</w:t>
            </w:r>
          </w:p>
        </w:tc>
        <w:tc>
          <w:tcPr>
            <w:tcW w:type="dxa" w:w="5300"/>
          </w:tcPr>
          <w:p>
            <w:r>
              <w:rPr>
                <w:rFonts w:ascii="Arial" w:cs="Arial" w:eastAsia="Arial" w:hAnsi="Arial"/>
                <w:b w:val="false"/>
                <w:bCs w:val="false"/>
                <w:color w:val="0A1F33"/>
                <w:sz w:val="18"/>
                <w:szCs w:val="18"/>
              </w:rPr>
              <w:t xml:space="preserve">Data connectors in Power BI, from ERP and CRM to cloud databases. [1]</w:t>
            </w:r>
          </w:p>
        </w:tc>
      </w:tr>
      <w:tr>
        <w:tc>
          <w:tcPr>
            <w:tcW w:type="dxa" w:w="1900"/>
          </w:tcPr>
          <w:p>
            <w:r>
              <w:rPr>
                <w:rFonts w:ascii="Arial" w:cs="Arial" w:eastAsia="Arial" w:hAnsi="Arial"/>
                <w:b w:val="false"/>
                <w:bCs w:val="false"/>
                <w:color w:val="0A1F33"/>
                <w:sz w:val="18"/>
                <w:szCs w:val="18"/>
              </w:rPr>
              <w:t xml:space="preserve">33x</w:t>
            </w:r>
          </w:p>
        </w:tc>
        <w:tc>
          <w:tcPr>
            <w:tcW w:type="dxa" w:w="2600"/>
          </w:tcPr>
          <w:p>
            <w:r>
              <w:rPr>
                <w:rFonts w:ascii="Arial" w:cs="Arial" w:eastAsia="Arial" w:hAnsi="Arial"/>
                <w:b w:val="false"/>
                <w:bCs w:val="false"/>
                <w:color w:val="0A1F33"/>
                <w:sz w:val="18"/>
                <w:szCs w:val="18"/>
              </w:rPr>
              <w:t xml:space="preserve">Faster report load</w:t>
            </w:r>
          </w:p>
        </w:tc>
        <w:tc>
          <w:tcPr>
            <w:tcW w:type="dxa" w:w="5300"/>
          </w:tcPr>
          <w:p>
            <w:r>
              <w:rPr>
                <w:rFonts w:ascii="Arial" w:cs="Arial" w:eastAsia="Arial" w:hAnsi="Arial"/>
                <w:b w:val="false"/>
                <w:bCs w:val="false"/>
                <w:color w:val="0A1F33"/>
                <w:sz w:val="18"/>
                <w:szCs w:val="18"/>
              </w:rPr>
              <w:t xml:space="preserve">Faster report load times in one recent HLB HAMT engagement. [2]</w:t>
            </w:r>
          </w:p>
        </w:tc>
      </w:tr>
      <w:tr>
        <w:tc>
          <w:tcPr>
            <w:tcW w:type="dxa" w:w="1900"/>
          </w:tcPr>
          <w:p>
            <w:r>
              <w:rPr>
                <w:rFonts w:ascii="Arial" w:cs="Arial" w:eastAsia="Arial" w:hAnsi="Arial"/>
                <w:b w:val="false"/>
                <w:bCs w:val="false"/>
                <w:color w:val="0A1F33"/>
                <w:sz w:val="18"/>
                <w:szCs w:val="18"/>
              </w:rPr>
              <w:t xml:space="preserve">Finance + technology</w:t>
            </w:r>
          </w:p>
        </w:tc>
        <w:tc>
          <w:tcPr>
            <w:tcW w:type="dxa" w:w="2600"/>
          </w:tcPr>
          <w:p>
            <w:r>
              <w:rPr>
                <w:rFonts w:ascii="Arial" w:cs="Arial" w:eastAsia="Arial" w:hAnsi="Arial"/>
                <w:b w:val="false"/>
                <w:bCs w:val="false"/>
                <w:color w:val="0A1F33"/>
                <w:sz w:val="18"/>
                <w:szCs w:val="18"/>
              </w:rPr>
              <w:t xml:space="preserve">One licensed firm</w:t>
            </w:r>
          </w:p>
        </w:tc>
        <w:tc>
          <w:tcPr>
            <w:tcW w:type="dxa" w:w="5300"/>
          </w:tcPr>
          <w:p>
            <w:r>
              <w:rPr>
                <w:rFonts w:ascii="Arial" w:cs="Arial" w:eastAsia="Arial" w:hAnsi="Arial"/>
                <w:b w:val="false"/>
                <w:bCs w:val="false"/>
                <w:color w:val="0A1F33"/>
                <w:sz w:val="18"/>
                <w:szCs w:val="18"/>
              </w:rPr>
              <w:t xml:space="preserve">Licensed audit, tax and advisory firm building data platforms.</w:t>
            </w:r>
          </w:p>
        </w:tc>
      </w:tr>
      <w:tr>
        <w:tc>
          <w:tcPr>
            <w:tcW w:type="dxa" w:w="1900"/>
          </w:tcPr>
          <w:p>
            <w:r>
              <w:rPr>
                <w:rFonts w:ascii="Arial" w:cs="Arial" w:eastAsia="Arial" w:hAnsi="Arial"/>
                <w:b w:val="false"/>
                <w:bCs w:val="false"/>
                <w:color w:val="0A1F33"/>
                <w:sz w:val="18"/>
                <w:szCs w:val="18"/>
              </w:rPr>
              <w:t xml:space="preserve">Arabic and English</w:t>
            </w:r>
          </w:p>
        </w:tc>
        <w:tc>
          <w:tcPr>
            <w:tcW w:type="dxa" w:w="2600"/>
          </w:tcPr>
          <w:p>
            <w:r>
              <w:rPr>
                <w:rFonts w:ascii="Arial" w:cs="Arial" w:eastAsia="Arial" w:hAnsi="Arial"/>
                <w:b w:val="false"/>
                <w:bCs w:val="false"/>
                <w:color w:val="0A1F33"/>
                <w:sz w:val="18"/>
                <w:szCs w:val="18"/>
              </w:rPr>
              <w:t xml:space="preserve">Right-to-left ready</w:t>
            </w:r>
          </w:p>
        </w:tc>
        <w:tc>
          <w:tcPr>
            <w:tcW w:type="dxa" w:w="5300"/>
          </w:tcPr>
          <w:p>
            <w:r>
              <w:rPr>
                <w:rFonts w:ascii="Arial" w:cs="Arial" w:eastAsia="Arial" w:hAnsi="Arial"/>
                <w:b w:val="false"/>
                <w:bCs w:val="false"/>
                <w:color w:val="0A1F33"/>
                <w:sz w:val="18"/>
                <w:szCs w:val="18"/>
              </w:rPr>
              <w:t xml:space="preserve">Right-to-left dashboards designed from the first mockup.</w:t>
            </w:r>
          </w:p>
        </w:tc>
      </w:tr>
    </w:tbl>
    <w:p>
      <w:pPr>
        <w:spacing w:after="120"/>
      </w:pPr>
    </w:p>
    <w:p>
      <w:pPr>
        <w:pBdr>
          <w:bottom w:val="single" w:color="B8761C" w:sz="12" w:space="0"/>
        </w:pBdr>
        <w:spacing w:after="80" w:before="320"/>
      </w:pPr>
      <w:r>
        <w:rPr>
          <w:rFonts w:ascii="Arial" w:cs="Arial" w:eastAsia="Arial" w:hAnsi="Arial"/>
          <w:b/>
          <w:bCs/>
          <w:color w:val="10538F"/>
          <w:sz w:val="30"/>
          <w:szCs w:val="30"/>
        </w:rPr>
        <w:t xml:space="preserve">3. Why HLB HAMT</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Eyebrow: </w:t>
      </w:r>
      <w:r>
        <w:rPr>
          <w:rFonts w:ascii="Arial" w:cs="Arial" w:eastAsia="Arial" w:hAnsi="Arial"/>
          <w:color w:val="0A1F33"/>
          <w:sz w:val="20"/>
          <w:szCs w:val="20"/>
        </w:rPr>
        <w:t xml:space="preserve">Why HLB HAMT</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H2: </w:t>
      </w:r>
      <w:r>
        <w:rPr>
          <w:rFonts w:ascii="Arial" w:cs="Arial" w:eastAsia="Arial" w:hAnsi="Arial"/>
          <w:color w:val="0A1F33"/>
          <w:sz w:val="20"/>
          <w:szCs w:val="20"/>
        </w:rPr>
        <w:t xml:space="preserve">Great Dashboards Start With the Numbers Behind Them</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Intro: </w:t>
      </w:r>
      <w:r>
        <w:rPr>
          <w:rFonts w:ascii="Arial" w:cs="Arial" w:eastAsia="Arial" w:hAnsi="Arial"/>
          <w:color w:val="0A1F33"/>
          <w:sz w:val="20"/>
          <w:szCs w:val="20"/>
        </w:rPr>
        <w:t xml:space="preserve">Microsoft supplies a capable platform. Whether people act on what it shows depends on the logic underneath. HLB HAMT is a Power BI consulting company that is also a licensed audit, tax and advisory firm and a member of the HLB International network, so our digital transformation and analytics services team builds self-service BI on figures that reconcile to your ledgers.</w:t>
      </w:r>
    </w:p>
    <w:p>
      <w:pPr>
        <w:spacing w:after="120"/>
        <w:jc w:val="both"/>
      </w:pPr>
      <w:r>
        <w:rPr>
          <w:rFonts w:ascii="Arial" w:cs="Arial" w:eastAsia="Arial" w:hAnsi="Arial"/>
          <w:color w:val="0A1F33"/>
          <w:sz w:val="20"/>
          <w:szCs w:val="20"/>
        </w:rPr>
        <w:t xml:space="preserve">Four cards (heading / copy):</w:t>
      </w:r>
    </w:p>
    <w:p>
      <w:pPr>
        <w:spacing w:after="120"/>
        <w:ind w:left="216"/>
        <w:jc w:val="both"/>
      </w:pPr>
      <w:r>
        <w:rPr>
          <w:rFonts w:ascii="Arial" w:cs="Arial" w:eastAsia="Arial" w:hAnsi="Arial"/>
          <w:b/>
          <w:bCs/>
          <w:color w:val="0A1F33"/>
          <w:sz w:val="20"/>
          <w:szCs w:val="20"/>
        </w:rPr>
        <w:t xml:space="preserve">1.  What we do</w:t>
      </w:r>
      <w:r>
        <w:rPr>
          <w:rFonts w:ascii="Arial" w:cs="Arial" w:eastAsia="Arial" w:hAnsi="Arial"/>
          <w:color w:val="0A1F33"/>
          <w:sz w:val="20"/>
          <w:szCs w:val="20"/>
        </w:rPr>
        <w:t xml:space="preserve">  -  </w:t>
      </w:r>
      <w:r>
        <w:rPr>
          <w:rFonts w:ascii="Arial" w:cs="Arial" w:eastAsia="Arial" w:hAnsi="Arial"/>
          <w:color w:val="0A1F33"/>
          <w:sz w:val="20"/>
          <w:szCs w:val="20"/>
        </w:rPr>
        <w:t xml:space="preserve">Discovery and data preparation come first, followed by modelling, DAX and report design. We then set up and govern your Power BI service: workspaces and apps, row-level security, scheduled refresh. Training and ongoing support continue after your teams start using it.</w:t>
      </w:r>
    </w:p>
    <w:p>
      <w:pPr>
        <w:spacing w:after="120"/>
        <w:ind w:left="216"/>
        <w:jc w:val="both"/>
      </w:pPr>
      <w:r>
        <w:rPr>
          <w:rFonts w:ascii="Arial" w:cs="Arial" w:eastAsia="Arial" w:hAnsi="Arial"/>
          <w:b/>
          <w:bCs/>
          <w:color w:val="0A1F33"/>
          <w:sz w:val="20"/>
          <w:szCs w:val="20"/>
        </w:rPr>
        <w:t xml:space="preserve">2.  Who we work with</w:t>
      </w:r>
      <w:r>
        <w:rPr>
          <w:rFonts w:ascii="Arial" w:cs="Arial" w:eastAsia="Arial" w:hAnsi="Arial"/>
          <w:color w:val="0A1F33"/>
          <w:sz w:val="20"/>
          <w:szCs w:val="20"/>
        </w:rPr>
        <w:t xml:space="preserve">  -  </w:t>
      </w:r>
      <w:r>
        <w:rPr>
          <w:rFonts w:ascii="Arial" w:cs="Arial" w:eastAsia="Arial" w:hAnsi="Arial"/>
          <w:color w:val="0A1F33"/>
          <w:sz w:val="20"/>
          <w:szCs w:val="20"/>
        </w:rPr>
        <w:t xml:space="preserve">A finance team piloting its first dashboard, or a multi-entity group consolidating reports across companies and currencies. Clients operate in all seven emirates as well as Saudi Arabia, Oman, Bahrain, Kuwait and Qatar, and the HLB International network extends our reach beyond the Gulf.</w:t>
      </w:r>
    </w:p>
    <w:p>
      <w:pPr>
        <w:spacing w:after="120"/>
        <w:ind w:left="216"/>
        <w:jc w:val="both"/>
      </w:pPr>
      <w:r>
        <w:rPr>
          <w:rFonts w:ascii="Arial" w:cs="Arial" w:eastAsia="Arial" w:hAnsi="Arial"/>
          <w:b/>
          <w:bCs/>
          <w:color w:val="0A1F33"/>
          <w:sz w:val="20"/>
          <w:szCs w:val="20"/>
        </w:rPr>
        <w:t xml:space="preserve">3.  How we deliver</w:t>
      </w:r>
      <w:r>
        <w:rPr>
          <w:rFonts w:ascii="Arial" w:cs="Arial" w:eastAsia="Arial" w:hAnsi="Arial"/>
          <w:color w:val="0A1F33"/>
          <w:sz w:val="20"/>
          <w:szCs w:val="20"/>
        </w:rPr>
        <w:t xml:space="preserve">  -  </w:t>
      </w:r>
      <w:r>
        <w:rPr>
          <w:rFonts w:ascii="Arial" w:cs="Arial" w:eastAsia="Arial" w:hAnsi="Arial"/>
          <w:color w:val="0A1F33"/>
          <w:sz w:val="20"/>
          <w:szCs w:val="20"/>
        </w:rPr>
        <w:t xml:space="preserve">Start with a live demo or a proof of concept on your own data, then scale in phases. Before any build, we write down the scope and the success criteria both sides will judge it by. Flexible engagement models let you add depth once phase one proves its value.</w:t>
      </w:r>
    </w:p>
    <w:p>
      <w:pPr>
        <w:spacing w:after="120"/>
        <w:ind w:left="216"/>
        <w:jc w:val="both"/>
      </w:pPr>
      <w:r>
        <w:rPr>
          <w:rFonts w:ascii="Arial" w:cs="Arial" w:eastAsia="Arial" w:hAnsi="Arial"/>
          <w:b/>
          <w:bCs/>
          <w:color w:val="0A1F33"/>
          <w:sz w:val="20"/>
          <w:szCs w:val="20"/>
        </w:rPr>
        <w:t xml:space="preserve">4.  Support after go-live</w:t>
      </w:r>
      <w:r>
        <w:rPr>
          <w:rFonts w:ascii="Arial" w:cs="Arial" w:eastAsia="Arial" w:hAnsi="Arial"/>
          <w:color w:val="0A1F33"/>
          <w:sz w:val="20"/>
          <w:szCs w:val="20"/>
        </w:rPr>
        <w:t xml:space="preserve">  -  </w:t>
      </w:r>
      <w:r>
        <w:rPr>
          <w:rFonts w:ascii="Arial" w:cs="Arial" w:eastAsia="Arial" w:hAnsi="Arial"/>
          <w:color w:val="0A1F33"/>
          <w:sz w:val="20"/>
          <w:szCs w:val="20"/>
        </w:rPr>
        <w:t xml:space="preserve">A UAE-based team answers in your time zone, Monday to Friday, through a single point of contact. When a report slows down or the board asks for a new view of the numbers, that contact owns the request until it is resolved.</w:t>
      </w:r>
    </w:p>
    <w:p>
      <w:pPr>
        <w:spacing w:after="120"/>
      </w:pPr>
    </w:p>
    <w:p>
      <w:pPr>
        <w:pBdr>
          <w:bottom w:val="single" w:color="B8761C" w:sz="12" w:space="0"/>
        </w:pBdr>
        <w:spacing w:after="80" w:before="320"/>
      </w:pPr>
      <w:r>
        <w:rPr>
          <w:rFonts w:ascii="Arial" w:cs="Arial" w:eastAsia="Arial" w:hAnsi="Arial"/>
          <w:b/>
          <w:bCs/>
          <w:color w:val="10538F"/>
          <w:sz w:val="30"/>
          <w:szCs w:val="30"/>
        </w:rPr>
        <w:t xml:space="preserve">4. Explore Power BI</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Eyebrow: </w:t>
      </w:r>
      <w:r>
        <w:rPr>
          <w:rFonts w:ascii="Arial" w:cs="Arial" w:eastAsia="Arial" w:hAnsi="Arial"/>
          <w:color w:val="0A1F33"/>
          <w:sz w:val="20"/>
          <w:szCs w:val="20"/>
        </w:rPr>
        <w:t xml:space="preserve">Why Power BI</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H2: </w:t>
      </w:r>
      <w:r>
        <w:rPr>
          <w:rFonts w:ascii="Arial" w:cs="Arial" w:eastAsia="Arial" w:hAnsi="Arial"/>
          <w:color w:val="0A1F33"/>
          <w:sz w:val="20"/>
          <w:szCs w:val="20"/>
        </w:rPr>
        <w:t xml:space="preserve">Why Power BI: From Raw Data to Boardroom Decisions</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Intro: </w:t>
      </w:r>
      <w:r>
        <w:rPr>
          <w:rFonts w:ascii="Arial" w:cs="Arial" w:eastAsia="Arial" w:hAnsi="Arial"/>
          <w:color w:val="0A1F33"/>
          <w:sz w:val="20"/>
          <w:szCs w:val="20"/>
        </w:rPr>
        <w:t xml:space="preserve">Power BI is Microsoft's business intelligence platform, and it sits naturally beside the tools your teams open every day: Excel, Teams, SharePoint, Outlook, Azure and Dynamics 365. For organisations already running on Microsoft, that native fit means people adopt it with very little friction. Four capabilities do most of the work.</w:t>
      </w:r>
    </w:p>
    <w:p>
      <w:pPr>
        <w:spacing w:after="120"/>
        <w:jc w:val="both"/>
      </w:pPr>
      <w:r>
        <w:rPr>
          <w:rFonts w:ascii="Arial" w:cs="Arial" w:eastAsia="Arial" w:hAnsi="Arial"/>
          <w:color w:val="0A1F33"/>
          <w:sz w:val="20"/>
          <w:szCs w:val="20"/>
        </w:rPr>
        <w:t xml:space="preserve">Four capability rows (label / heading / description):</w:t>
      </w:r>
    </w:p>
    <w:tbl>
      <w:tblPr>
        <w:tblW w:type="dxa" w:w="9800"/>
        <w:tblBorders>
          <w:top w:val="single" w:color="000000" w:sz="4"/>
          <w:left w:val="single" w:color="000000" w:sz="4"/>
          <w:bottom w:val="single" w:color="000000" w:sz="4"/>
          <w:right w:val="single" w:color="000000" w:sz="4"/>
          <w:insideH w:val="single" w:color="000000" w:sz="4"/>
          <w:insideV w:val="single" w:color="000000" w:sz="4"/>
        </w:tblBorders>
      </w:tblPr>
      <w:tblGrid>
        <w:gridCol w:w="1600"/>
        <w:gridCol w:w="2900"/>
        <w:gridCol w:w="5300"/>
      </w:tblGrid>
      <w:tr>
        <w:tc>
          <w:tcPr>
            <w:tcW w:type="dxa" w:w="1600"/>
            <w:shd w:fill="10538F" w:color="auto" w:val="clear"/>
          </w:tcPr>
          <w:p>
            <w:r>
              <w:rPr>
                <w:rFonts w:ascii="Arial" w:cs="Arial" w:eastAsia="Arial" w:hAnsi="Arial"/>
                <w:b/>
                <w:bCs/>
                <w:color w:val="FFFFFF"/>
                <w:sz w:val="19"/>
                <w:szCs w:val="19"/>
              </w:rPr>
              <w:t xml:space="preserve">Label</w:t>
            </w:r>
          </w:p>
        </w:tc>
        <w:tc>
          <w:tcPr>
            <w:tcW w:type="dxa" w:w="2900"/>
            <w:shd w:fill="10538F" w:color="auto" w:val="clear"/>
          </w:tcPr>
          <w:p>
            <w:r>
              <w:rPr>
                <w:rFonts w:ascii="Arial" w:cs="Arial" w:eastAsia="Arial" w:hAnsi="Arial"/>
                <w:b/>
                <w:bCs/>
                <w:color w:val="FFFFFF"/>
                <w:sz w:val="19"/>
                <w:szCs w:val="19"/>
              </w:rPr>
              <w:t xml:space="preserve">Heading</w:t>
            </w:r>
          </w:p>
        </w:tc>
        <w:tc>
          <w:tcPr>
            <w:tcW w:type="dxa" w:w="5300"/>
            <w:shd w:fill="10538F" w:color="auto" w:val="clear"/>
          </w:tcPr>
          <w:p>
            <w:r>
              <w:rPr>
                <w:rFonts w:ascii="Arial" w:cs="Arial" w:eastAsia="Arial" w:hAnsi="Arial"/>
                <w:b/>
                <w:bCs/>
                <w:color w:val="FFFFFF"/>
                <w:sz w:val="19"/>
                <w:szCs w:val="19"/>
              </w:rPr>
              <w:t xml:space="preserve">Description</w:t>
            </w:r>
          </w:p>
        </w:tc>
      </w:tr>
      <w:tr>
        <w:tc>
          <w:tcPr>
            <w:tcW w:type="dxa" w:w="1600"/>
          </w:tcPr>
          <w:p>
            <w:r>
              <w:rPr>
                <w:rFonts w:ascii="Arial" w:cs="Arial" w:eastAsia="Arial" w:hAnsi="Arial"/>
                <w:b w:val="false"/>
                <w:bCs w:val="false"/>
                <w:color w:val="0A1F33"/>
                <w:sz w:val="18"/>
                <w:szCs w:val="18"/>
              </w:rPr>
              <w:t xml:space="preserve">Capability</w:t>
            </w:r>
          </w:p>
        </w:tc>
        <w:tc>
          <w:tcPr>
            <w:tcW w:type="dxa" w:w="2900"/>
          </w:tcPr>
          <w:p>
            <w:r>
              <w:rPr>
                <w:rFonts w:ascii="Arial" w:cs="Arial" w:eastAsia="Arial" w:hAnsi="Arial"/>
                <w:b w:val="false"/>
                <w:bCs w:val="false"/>
                <w:color w:val="0A1F33"/>
                <w:sz w:val="18"/>
                <w:szCs w:val="18"/>
              </w:rPr>
              <w:t xml:space="preserve">Self-service analytics, built in Power BI Desktop</w:t>
            </w:r>
          </w:p>
        </w:tc>
        <w:tc>
          <w:tcPr>
            <w:tcW w:type="dxa" w:w="5300"/>
          </w:tcPr>
          <w:p>
            <w:r>
              <w:rPr>
                <w:rFonts w:ascii="Arial" w:cs="Arial" w:eastAsia="Arial" w:hAnsi="Arial"/>
                <w:b w:val="false"/>
                <w:bCs w:val="false"/>
                <w:color w:val="0A1F33"/>
                <w:sz w:val="18"/>
                <w:szCs w:val="18"/>
              </w:rPr>
              <w:t xml:space="preserve">Business users build and explore their own visuals without joining an IT queue. Underneath, DAX measures calculate the KPIs finance reports on, such as year-over-year growth, running totals and year-to-date revenue. Every page then works from one agreed definition. Key capabilities: interactive visuals, DAX measures for custom KPIs, Power Query data shaping, reusable report themes, Arabic and English layouts.</w:t>
            </w:r>
          </w:p>
        </w:tc>
      </w:tr>
      <w:tr>
        <w:tc>
          <w:tcPr>
            <w:tcW w:type="dxa" w:w="1600"/>
          </w:tcPr>
          <w:p>
            <w:r>
              <w:rPr>
                <w:rFonts w:ascii="Arial" w:cs="Arial" w:eastAsia="Arial" w:hAnsi="Arial"/>
                <w:b w:val="false"/>
                <w:bCs w:val="false"/>
                <w:color w:val="0A1F33"/>
                <w:sz w:val="18"/>
                <w:szCs w:val="18"/>
              </w:rPr>
              <w:t xml:space="preserve">Capability</w:t>
            </w:r>
          </w:p>
        </w:tc>
        <w:tc>
          <w:tcPr>
            <w:tcW w:type="dxa" w:w="2900"/>
          </w:tcPr>
          <w:p>
            <w:r>
              <w:rPr>
                <w:rFonts w:ascii="Arial" w:cs="Arial" w:eastAsia="Arial" w:hAnsi="Arial"/>
                <w:b w:val="false"/>
                <w:bCs w:val="false"/>
                <w:color w:val="0A1F33"/>
                <w:sz w:val="18"/>
                <w:szCs w:val="18"/>
              </w:rPr>
              <w:t xml:space="preserve">The Power BI service</w:t>
            </w:r>
          </w:p>
        </w:tc>
        <w:tc>
          <w:tcPr>
            <w:tcW w:type="dxa" w:w="5300"/>
          </w:tcPr>
          <w:p>
            <w:r>
              <w:rPr>
                <w:rFonts w:ascii="Arial" w:cs="Arial" w:eastAsia="Arial" w:hAnsi="Arial"/>
                <w:b w:val="false"/>
                <w:bCs w:val="false"/>
                <w:color w:val="0A1F33"/>
                <w:sz w:val="18"/>
                <w:szCs w:val="18"/>
              </w:rPr>
              <w:t xml:space="preserve">It is the cloud side of the platform, where finished reports are published, bundled into apps, refreshed on schedule and secured. [7] Dashboards serve leadership and reports serve analysts. Both draw on the same data, which puts every part of the business in view from one place. Key capabilities: workspaces and apps, scheduled refresh, row-level security, subscriptions and sharing, usage monitoring.</w:t>
            </w:r>
          </w:p>
        </w:tc>
      </w:tr>
      <w:tr>
        <w:tc>
          <w:tcPr>
            <w:tcW w:type="dxa" w:w="1600"/>
          </w:tcPr>
          <w:p>
            <w:r>
              <w:rPr>
                <w:rFonts w:ascii="Arial" w:cs="Arial" w:eastAsia="Arial" w:hAnsi="Arial"/>
                <w:b w:val="false"/>
                <w:bCs w:val="false"/>
                <w:color w:val="0A1F33"/>
                <w:sz w:val="18"/>
                <w:szCs w:val="18"/>
              </w:rPr>
              <w:t xml:space="preserve">Capability</w:t>
            </w:r>
          </w:p>
        </w:tc>
        <w:tc>
          <w:tcPr>
            <w:tcW w:type="dxa" w:w="2900"/>
          </w:tcPr>
          <w:p>
            <w:r>
              <w:rPr>
                <w:rFonts w:ascii="Arial" w:cs="Arial" w:eastAsia="Arial" w:hAnsi="Arial"/>
                <w:b w:val="false"/>
                <w:bCs w:val="false"/>
                <w:color w:val="0A1F33"/>
                <w:sz w:val="18"/>
                <w:szCs w:val="18"/>
              </w:rPr>
              <w:t xml:space="preserve">Connected to your ecosystem</w:t>
            </w:r>
          </w:p>
        </w:tc>
        <w:tc>
          <w:tcPr>
            <w:tcW w:type="dxa" w:w="5300"/>
          </w:tcPr>
          <w:p>
            <w:r>
              <w:rPr>
                <w:rFonts w:ascii="Arial" w:cs="Arial" w:eastAsia="Arial" w:hAnsi="Arial"/>
                <w:b w:val="false"/>
                <w:bCs w:val="false"/>
                <w:color w:val="0A1F33"/>
                <w:sz w:val="18"/>
                <w:szCs w:val="18"/>
              </w:rPr>
              <w:t xml:space="preserve">Native, certified and custom connectors cover systems such as SAP, Oracle, NetSuite, Dynamics 365, Salesforce, SugarCRM, Excel, SharePoint, Snowflake, Google BigQuery and REST APIs. For servers inside your own network, the on-premises data gateway keeps scheduled refresh running without moving the source. Key capabilities: certified connectors, custom connector builds, on-premises data gateway, ERP and CRM integration, Excel and SharePoint sources.</w:t>
            </w:r>
          </w:p>
        </w:tc>
      </w:tr>
      <w:tr>
        <w:tc>
          <w:tcPr>
            <w:tcW w:type="dxa" w:w="1600"/>
          </w:tcPr>
          <w:p>
            <w:r>
              <w:rPr>
                <w:rFonts w:ascii="Arial" w:cs="Arial" w:eastAsia="Arial" w:hAnsi="Arial"/>
                <w:b w:val="false"/>
                <w:bCs w:val="false"/>
                <w:color w:val="0A1F33"/>
                <w:sz w:val="18"/>
                <w:szCs w:val="18"/>
              </w:rPr>
              <w:t xml:space="preserve">Capability</w:t>
            </w:r>
          </w:p>
        </w:tc>
        <w:tc>
          <w:tcPr>
            <w:tcW w:type="dxa" w:w="2900"/>
          </w:tcPr>
          <w:p>
            <w:r>
              <w:rPr>
                <w:rFonts w:ascii="Arial" w:cs="Arial" w:eastAsia="Arial" w:hAnsi="Arial"/>
                <w:b w:val="false"/>
                <w:bCs w:val="false"/>
                <w:color w:val="0A1F33"/>
                <w:sz w:val="18"/>
                <w:szCs w:val="18"/>
              </w:rPr>
              <w:t xml:space="preserve">Decisions on the go, and inside your own portals</w:t>
            </w:r>
          </w:p>
        </w:tc>
        <w:tc>
          <w:tcPr>
            <w:tcW w:type="dxa" w:w="5300"/>
          </w:tcPr>
          <w:p>
            <w:r>
              <w:rPr>
                <w:rFonts w:ascii="Arial" w:cs="Arial" w:eastAsia="Arial" w:hAnsi="Arial"/>
                <w:b w:val="false"/>
                <w:bCs w:val="false"/>
                <w:color w:val="0A1F33"/>
                <w:sz w:val="18"/>
                <w:szCs w:val="18"/>
              </w:rPr>
              <w:t xml:space="preserve">Power BI Mobile puts reports on iOS and Android, with alerts, annotation and sharing from the phone. Power BI Embedded goes further: investor portals, client platforms and your web apps can carry branded dashboards on capacity-based licensing, without the expense of building reporting from scratch. Key capabilities: iOS and Android apps, data-driven alerts, mobile-optimised layouts, embedded analytics, capacity-based licensing.</w:t>
            </w:r>
          </w:p>
        </w:tc>
      </w:tr>
    </w:tbl>
    <w:p>
      <w:pPr>
        <w:spacing w:after="60" w:before="160"/>
      </w:pPr>
      <w:r>
        <w:rPr>
          <w:rFonts w:ascii="Arial" w:cs="Arial" w:eastAsia="Arial" w:hAnsi="Arial"/>
          <w:b/>
          <w:bCs/>
          <w:color w:val="000000"/>
          <w:sz w:val="24"/>
          <w:szCs w:val="24"/>
        </w:rPr>
        <w:t xml:space="preserve">Platform layer: Microsoft Fabric and a medallion data lakehouse</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Body: </w:t>
      </w:r>
      <w:r>
        <w:rPr>
          <w:rFonts w:ascii="Arial" w:cs="Arial" w:eastAsia="Arial" w:hAnsi="Arial"/>
          <w:color w:val="0A1F33"/>
          <w:sz w:val="20"/>
          <w:szCs w:val="20"/>
        </w:rPr>
        <w:t xml:space="preserve">Fabric brings Power BI together with data engineering, warehousing and real-time analytics on one platform. Microsoft reports more than 40,000 paid Fabric customers, up more than 60% year on year. [4] When your data lives in five or more systems, we build a Bronze, Silver and Gold lakehouse fed by Azure Data Factory pipelines, giving every report one source of truth.</w:t>
      </w:r>
    </w:p>
    <w:p>
      <w:pPr>
        <w:spacing w:after="120"/>
        <w:ind w:left="216"/>
        <w:jc w:val="both"/>
      </w:pPr>
      <w:r>
        <w:rPr>
          <w:rFonts w:ascii="Arial" w:cs="Arial" w:eastAsia="Arial" w:hAnsi="Arial"/>
          <w:b/>
          <w:bCs/>
          <w:color w:val="0A1F33"/>
          <w:sz w:val="18"/>
          <w:szCs w:val="18"/>
        </w:rPr>
        <w:t xml:space="preserve">Key capabilities: </w:t>
      </w:r>
      <w:r>
        <w:rPr>
          <w:rFonts w:ascii="Arial" w:cs="Arial" w:eastAsia="Arial" w:hAnsi="Arial"/>
          <w:color w:val="0A1F33"/>
          <w:sz w:val="18"/>
          <w:szCs w:val="18"/>
        </w:rPr>
        <w:t xml:space="preserve">Fabric readiness assessment · Azure Data Factory pipelines · Bronze, Silver and Gold layers · Migration planning</w:t>
      </w:r>
    </w:p>
    <w:p>
      <w:pPr>
        <w:spacing w:after="120"/>
      </w:pPr>
    </w:p>
    <w:p>
      <w:pPr>
        <w:pBdr>
          <w:bottom w:val="single" w:color="B8761C" w:sz="12" w:space="0"/>
        </w:pBdr>
        <w:spacing w:after="80" w:before="320"/>
      </w:pPr>
      <w:r>
        <w:rPr>
          <w:rFonts w:ascii="Arial" w:cs="Arial" w:eastAsia="Arial" w:hAnsi="Arial"/>
          <w:b/>
          <w:bCs/>
          <w:color w:val="10538F"/>
          <w:sz w:val="30"/>
          <w:szCs w:val="30"/>
        </w:rPr>
        <w:t xml:space="preserve">5. AI Insights</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Eyebrow: </w:t>
      </w:r>
      <w:r>
        <w:rPr>
          <w:rFonts w:ascii="Arial" w:cs="Arial" w:eastAsia="Arial" w:hAnsi="Arial"/>
          <w:color w:val="0A1F33"/>
          <w:sz w:val="20"/>
          <w:szCs w:val="20"/>
        </w:rPr>
        <w:t xml:space="preserve">AI Insights</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H2: </w:t>
      </w:r>
      <w:r>
        <w:rPr>
          <w:rFonts w:ascii="Arial" w:cs="Arial" w:eastAsia="Arial" w:hAnsi="Arial"/>
          <w:color w:val="0A1F33"/>
          <w:sz w:val="20"/>
          <w:szCs w:val="20"/>
        </w:rPr>
        <w:t xml:space="preserve">Ask Your Data a Question and Act on the Answer</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Intro: </w:t>
      </w:r>
      <w:r>
        <w:rPr>
          <w:rFonts w:ascii="Arial" w:cs="Arial" w:eastAsia="Arial" w:hAnsi="Arial"/>
          <w:color w:val="0A1F33"/>
          <w:sz w:val="20"/>
          <w:szCs w:val="20"/>
        </w:rPr>
        <w:t xml:space="preserve">Copilot and the AI visuals built into Power BI move a team from asking what happened to deciding what to do next, without anyone writing a query. The appetite is already there: in Q2 2026, 73.3% of the UAE's working-age population used generative AI tools, against 18.8% worldwide. [5] Forecasting and scoring models, built on Azure Machine Learning, are part of our advanced analytics services.</w:t>
      </w:r>
    </w:p>
    <w:p>
      <w:pPr>
        <w:spacing w:after="120"/>
        <w:jc w:val="both"/>
      </w:pPr>
      <w:r>
        <w:rPr>
          <w:rFonts w:ascii="Arial" w:cs="Arial" w:eastAsia="Arial" w:hAnsi="Arial"/>
          <w:color w:val="0A1F33"/>
          <w:sz w:val="20"/>
          <w:szCs w:val="20"/>
        </w:rPr>
        <w:t xml:space="preserve">Three points (heading / copy):</w:t>
      </w:r>
    </w:p>
    <w:p>
      <w:pPr>
        <w:spacing w:after="120"/>
        <w:ind w:left="216"/>
        <w:jc w:val="both"/>
      </w:pPr>
      <w:r>
        <w:rPr>
          <w:rFonts w:ascii="Arial" w:cs="Arial" w:eastAsia="Arial" w:hAnsi="Arial"/>
          <w:b/>
          <w:bCs/>
          <w:color w:val="0A1F33"/>
          <w:sz w:val="20"/>
          <w:szCs w:val="20"/>
        </w:rPr>
        <w:t xml:space="preserve">1.  Answers</w:t>
      </w:r>
      <w:r>
        <w:rPr>
          <w:rFonts w:ascii="Arial" w:cs="Arial" w:eastAsia="Arial" w:hAnsi="Arial"/>
          <w:color w:val="0A1F33"/>
          <w:sz w:val="20"/>
          <w:szCs w:val="20"/>
        </w:rPr>
        <w:t xml:space="preserve">  -  </w:t>
      </w:r>
      <w:r>
        <w:rPr>
          <w:rFonts w:ascii="Arial" w:cs="Arial" w:eastAsia="Arial" w:hAnsi="Arial"/>
          <w:color w:val="0A1F33"/>
          <w:sz w:val="20"/>
          <w:szCs w:val="20"/>
        </w:rPr>
        <w:t xml:space="preserve">Copilot answers questions about an open report, summarises what each page shows and drafts DAX measures and new report pages for your authors to refine. [10]</w:t>
      </w:r>
    </w:p>
    <w:p>
      <w:pPr>
        <w:spacing w:after="120"/>
        <w:ind w:left="216"/>
        <w:jc w:val="both"/>
      </w:pPr>
      <w:r>
        <w:rPr>
          <w:rFonts w:ascii="Arial" w:cs="Arial" w:eastAsia="Arial" w:hAnsi="Arial"/>
          <w:b/>
          <w:bCs/>
          <w:color w:val="0A1F33"/>
          <w:sz w:val="20"/>
          <w:szCs w:val="20"/>
        </w:rPr>
        <w:t xml:space="preserve">2.  Explains</w:t>
      </w:r>
      <w:r>
        <w:rPr>
          <w:rFonts w:ascii="Arial" w:cs="Arial" w:eastAsia="Arial" w:hAnsi="Arial"/>
          <w:color w:val="0A1F33"/>
          <w:sz w:val="20"/>
          <w:szCs w:val="20"/>
        </w:rPr>
        <w:t xml:space="preserve">  -  </w:t>
      </w:r>
      <w:r>
        <w:rPr>
          <w:rFonts w:ascii="Arial" w:cs="Arial" w:eastAsia="Arial" w:hAnsi="Arial"/>
          <w:color w:val="0A1F33"/>
          <w:sz w:val="20"/>
          <w:szCs w:val="20"/>
        </w:rPr>
        <w:t xml:space="preserve">Key influencers and the decomposition tree show what is pushing a number up or down, and the narrative visual describes the change in words.</w:t>
      </w:r>
    </w:p>
    <w:p>
      <w:pPr>
        <w:spacing w:after="120"/>
        <w:ind w:left="216"/>
        <w:jc w:val="both"/>
      </w:pPr>
      <w:r>
        <w:rPr>
          <w:rFonts w:ascii="Arial" w:cs="Arial" w:eastAsia="Arial" w:hAnsi="Arial"/>
          <w:b/>
          <w:bCs/>
          <w:color w:val="0A1F33"/>
          <w:sz w:val="20"/>
          <w:szCs w:val="20"/>
        </w:rPr>
        <w:t xml:space="preserve">3.  Alerts</w:t>
      </w:r>
      <w:r>
        <w:rPr>
          <w:rFonts w:ascii="Arial" w:cs="Arial" w:eastAsia="Arial" w:hAnsi="Arial"/>
          <w:color w:val="0A1F33"/>
          <w:sz w:val="20"/>
          <w:szCs w:val="20"/>
        </w:rPr>
        <w:t xml:space="preserve">  -  </w:t>
      </w:r>
      <w:r>
        <w:rPr>
          <w:rFonts w:ascii="Arial" w:cs="Arial" w:eastAsia="Arial" w:hAnsi="Arial"/>
          <w:color w:val="0A1F33"/>
          <w:sz w:val="20"/>
          <w:szCs w:val="20"/>
        </w:rPr>
        <w:t xml:space="preserve">Anomaly detection flags unusual movements. Data alerts, extended through Power BI automation with Power Automate, email the owner when a KPI crosses its threshold.</w:t>
      </w:r>
    </w:p>
    <w:p>
      <w:pPr>
        <w:spacing w:after="120"/>
      </w:pPr>
    </w:p>
    <w:p>
      <w:pPr>
        <w:pBdr>
          <w:bottom w:val="single" w:color="B8761C" w:sz="12" w:space="0"/>
        </w:pBdr>
        <w:spacing w:after="80" w:before="320"/>
      </w:pPr>
      <w:r>
        <w:rPr>
          <w:rFonts w:ascii="Arial" w:cs="Arial" w:eastAsia="Arial" w:hAnsi="Arial"/>
          <w:b/>
          <w:bCs/>
          <w:color w:val="10538F"/>
          <w:sz w:val="30"/>
          <w:szCs w:val="30"/>
        </w:rPr>
        <w:t xml:space="preserve">6. Use Cases by Role and Sector</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Eyebrow: </w:t>
      </w:r>
      <w:r>
        <w:rPr>
          <w:rFonts w:ascii="Arial" w:cs="Arial" w:eastAsia="Arial" w:hAnsi="Arial"/>
          <w:color w:val="0A1F33"/>
          <w:sz w:val="20"/>
          <w:szCs w:val="20"/>
        </w:rPr>
        <w:t xml:space="preserve">Use Cases</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H2: </w:t>
      </w:r>
      <w:r>
        <w:rPr>
          <w:rFonts w:ascii="Arial" w:cs="Arial" w:eastAsia="Arial" w:hAnsi="Arial"/>
          <w:color w:val="0A1F33"/>
          <w:sz w:val="20"/>
          <w:szCs w:val="20"/>
        </w:rPr>
        <w:t xml:space="preserve">Dashboards Shaped Around the Decisions You Make</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Intro: </w:t>
      </w:r>
      <w:r>
        <w:rPr>
          <w:rFonts w:ascii="Arial" w:cs="Arial" w:eastAsia="Arial" w:hAnsi="Arial"/>
          <w:color w:val="0A1F33"/>
          <w:sz w:val="20"/>
          <w:szCs w:val="20"/>
        </w:rPr>
        <w:t xml:space="preserve">Every engagement starts from the KPIs a role or sector runs on. We shape the model, measures and page layout around the decisions those KPIs support, instead of adapting a generic template.</w:t>
      </w:r>
    </w:p>
    <w:p>
      <w:pPr>
        <w:spacing w:after="120"/>
        <w:jc w:val="both"/>
      </w:pPr>
      <w:r>
        <w:rPr>
          <w:rFonts w:ascii="Arial" w:cs="Arial" w:eastAsia="Arial" w:hAnsi="Arial"/>
          <w:color w:val="0A1F33"/>
          <w:sz w:val="20"/>
          <w:szCs w:val="20"/>
        </w:rPr>
        <w:t xml:space="preserve">Six cards (heading / tagline / copy):</w:t>
      </w:r>
    </w:p>
    <w:p>
      <w:pPr>
        <w:spacing w:after="120"/>
        <w:ind w:left="216"/>
        <w:jc w:val="both"/>
      </w:pPr>
      <w:r>
        <w:rPr>
          <w:rFonts w:ascii="Arial" w:cs="Arial" w:eastAsia="Arial" w:hAnsi="Arial"/>
          <w:b/>
          <w:bCs/>
          <w:color w:val="0A1F33"/>
          <w:sz w:val="20"/>
          <w:szCs w:val="20"/>
        </w:rPr>
        <w:t xml:space="preserve">1.  Group finance and CFOs</w:t>
      </w:r>
      <w:r>
        <w:rPr>
          <w:rFonts w:ascii="Arial" w:cs="Arial" w:eastAsia="Arial" w:hAnsi="Arial"/>
          <w:color w:val="0A1F33"/>
          <w:sz w:val="20"/>
          <w:szCs w:val="20"/>
        </w:rPr>
        <w:t xml:space="preserve">  -  </w:t>
      </w:r>
      <w:r>
        <w:rPr>
          <w:rFonts w:ascii="Arial" w:cs="Arial" w:eastAsia="Arial" w:hAnsi="Arial"/>
          <w:color w:val="0A1F33"/>
          <w:sz w:val="20"/>
          <w:szCs w:val="20"/>
        </w:rPr>
        <w:t xml:space="preserve">Consolidation across entities and currencies, without the spreadsheets. Every entity rolls up into one group P&amp;L, balance sheet and cash flow, whatever currency it reports in, from AED and SAR to USD and EUR. With audit in mind, chartered accountants design the intercompany eliminations, currency translation and IFRS segment views.</w:t>
      </w:r>
    </w:p>
    <w:p>
      <w:pPr>
        <w:spacing w:after="120"/>
        <w:ind w:left="216"/>
        <w:jc w:val="both"/>
      </w:pPr>
      <w:r>
        <w:rPr>
          <w:rFonts w:ascii="Arial" w:cs="Arial" w:eastAsia="Arial" w:hAnsi="Arial"/>
          <w:b/>
          <w:bCs/>
          <w:color w:val="0A1F33"/>
          <w:sz w:val="20"/>
          <w:szCs w:val="20"/>
        </w:rPr>
        <w:t xml:space="preserve">2.  Corporate Tax and VAT</w:t>
      </w:r>
      <w:r>
        <w:rPr>
          <w:rFonts w:ascii="Arial" w:cs="Arial" w:eastAsia="Arial" w:hAnsi="Arial"/>
          <w:color w:val="0A1F33"/>
          <w:sz w:val="20"/>
          <w:szCs w:val="20"/>
        </w:rPr>
        <w:t xml:space="preserve">  -  </w:t>
      </w:r>
      <w:r>
        <w:rPr>
          <w:rFonts w:ascii="Arial" w:cs="Arial" w:eastAsia="Arial" w:hAnsi="Arial"/>
          <w:color w:val="0A1F33"/>
          <w:sz w:val="20"/>
          <w:szCs w:val="20"/>
        </w:rPr>
        <w:t xml:space="preserve">Tax positions tracked month by month, not at year end. Taxable income, IAS 12 deferred tax, transfer pricing and VAT return figures sit together, with free zone results kept apart from mainland ones. Because our UAE Corporate Tax advisory practice sits in the same firm, the dashboards are built audit-ready from the start.</w:t>
      </w:r>
    </w:p>
    <w:p>
      <w:pPr>
        <w:spacing w:after="120"/>
        <w:ind w:left="216"/>
        <w:jc w:val="both"/>
      </w:pPr>
      <w:r>
        <w:rPr>
          <w:rFonts w:ascii="Arial" w:cs="Arial" w:eastAsia="Arial" w:hAnsi="Arial"/>
          <w:b/>
          <w:bCs/>
          <w:color w:val="0A1F33"/>
          <w:sz w:val="20"/>
          <w:szCs w:val="20"/>
        </w:rPr>
        <w:t xml:space="preserve">3.  Real estate and development</w:t>
      </w:r>
      <w:r>
        <w:rPr>
          <w:rFonts w:ascii="Arial" w:cs="Arial" w:eastAsia="Arial" w:hAnsi="Arial"/>
          <w:color w:val="0A1F33"/>
          <w:sz w:val="20"/>
          <w:szCs w:val="20"/>
        </w:rPr>
        <w:t xml:space="preserve">  -  </w:t>
      </w:r>
      <w:r>
        <w:rPr>
          <w:rFonts w:ascii="Arial" w:cs="Arial" w:eastAsia="Arial" w:hAnsi="Arial"/>
          <w:color w:val="0A1F33"/>
          <w:sz w:val="20"/>
          <w:szCs w:val="20"/>
        </w:rPr>
        <w:t xml:space="preserve">Sales velocity, inventory and broker results, side by side. Follow each unit from first expression of interest to signed deal, with lead conversion, live availability, payment plans, broker performance and DLD compliance reported alongside. CRM and ERP records are matched unit by unit in a lakehouse.</w:t>
      </w:r>
    </w:p>
    <w:p>
      <w:pPr>
        <w:spacing w:after="120"/>
        <w:ind w:left="216"/>
        <w:jc w:val="both"/>
      </w:pPr>
      <w:r>
        <w:rPr>
          <w:rFonts w:ascii="Arial" w:cs="Arial" w:eastAsia="Arial" w:hAnsi="Arial"/>
          <w:b/>
          <w:bCs/>
          <w:color w:val="0A1F33"/>
          <w:sz w:val="20"/>
          <w:szCs w:val="20"/>
        </w:rPr>
        <w:t xml:space="preserve">4.  Chief Data Officer</w:t>
      </w:r>
      <w:r>
        <w:rPr>
          <w:rFonts w:ascii="Arial" w:cs="Arial" w:eastAsia="Arial" w:hAnsi="Arial"/>
          <w:color w:val="0A1F33"/>
          <w:sz w:val="20"/>
          <w:szCs w:val="20"/>
        </w:rPr>
        <w:t xml:space="preserve">  -  </w:t>
      </w:r>
      <w:r>
        <w:rPr>
          <w:rFonts w:ascii="Arial" w:cs="Arial" w:eastAsia="Arial" w:hAnsi="Arial"/>
          <w:color w:val="0A1F33"/>
          <w:sz w:val="20"/>
          <w:szCs w:val="20"/>
        </w:rPr>
        <w:t xml:space="preserve">Governance that makes the data worth trusting. Governance frameworks, clearer ownership and better capture at source, with accountability and compliance built in. We help set a data roadmap tied to business strategy, build a culture that asks for evidence, and digitise processes at a scale the organisation can sustain.</w:t>
      </w:r>
    </w:p>
    <w:p>
      <w:pPr>
        <w:spacing w:after="120"/>
        <w:ind w:left="216"/>
        <w:jc w:val="both"/>
      </w:pPr>
      <w:r>
        <w:rPr>
          <w:rFonts w:ascii="Arial" w:cs="Arial" w:eastAsia="Arial" w:hAnsi="Arial"/>
          <w:b/>
          <w:bCs/>
          <w:color w:val="0A1F33"/>
          <w:sz w:val="20"/>
          <w:szCs w:val="20"/>
        </w:rPr>
        <w:t xml:space="preserve">5.  Chief Marketing Officer</w:t>
      </w:r>
      <w:r>
        <w:rPr>
          <w:rFonts w:ascii="Arial" w:cs="Arial" w:eastAsia="Arial" w:hAnsi="Arial"/>
          <w:color w:val="0A1F33"/>
          <w:sz w:val="20"/>
          <w:szCs w:val="20"/>
        </w:rPr>
        <w:t xml:space="preserve">  -  </w:t>
      </w:r>
      <w:r>
        <w:rPr>
          <w:rFonts w:ascii="Arial" w:cs="Arial" w:eastAsia="Arial" w:hAnsi="Arial"/>
          <w:color w:val="0A1F33"/>
          <w:sz w:val="20"/>
          <w:szCs w:val="20"/>
        </w:rPr>
        <w:t xml:space="preserve">Campaign spend traced through to customer behaviour. A unified 360-degree customer view, omnichannel campaign results and buying behaviour by cohort. Segment and target with more precision, read behaviour from digital and e-commerce channels, and compare spend performance across DSPs, SSPs and ad channels.</w:t>
      </w:r>
    </w:p>
    <w:p>
      <w:pPr>
        <w:spacing w:after="120"/>
        <w:ind w:left="216"/>
        <w:jc w:val="both"/>
      </w:pPr>
      <w:r>
        <w:rPr>
          <w:rFonts w:ascii="Arial" w:cs="Arial" w:eastAsia="Arial" w:hAnsi="Arial"/>
          <w:b/>
          <w:bCs/>
          <w:color w:val="0A1F33"/>
          <w:sz w:val="20"/>
          <w:szCs w:val="20"/>
        </w:rPr>
        <w:t xml:space="preserve">6.  Chief Analytics Officer</w:t>
      </w:r>
      <w:r>
        <w:rPr>
          <w:rFonts w:ascii="Arial" w:cs="Arial" w:eastAsia="Arial" w:hAnsi="Arial"/>
          <w:color w:val="0A1F33"/>
          <w:sz w:val="20"/>
          <w:szCs w:val="20"/>
        </w:rPr>
        <w:t xml:space="preserve">  -  </w:t>
      </w:r>
      <w:r>
        <w:rPr>
          <w:rFonts w:ascii="Arial" w:cs="Arial" w:eastAsia="Arial" w:hAnsi="Arial"/>
          <w:color w:val="0A1F33"/>
          <w:sz w:val="20"/>
          <w:szCs w:val="20"/>
        </w:rPr>
        <w:t xml:space="preserve">Where analytics strategy meets commercial return. Line up business objectives with what the technology can deliver, then turn raw data into action. Dashboards help spot untapped, blue-ocean market opportunities, feed competitive intelligence and data monetisation plans, and support next-best-action frameworks for frontline decisions.</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Sectors we also work with: </w:t>
      </w:r>
      <w:r>
        <w:rPr>
          <w:rFonts w:ascii="Arial" w:cs="Arial" w:eastAsia="Arial" w:hAnsi="Arial"/>
          <w:color w:val="0A1F33"/>
          <w:sz w:val="20"/>
          <w:szCs w:val="20"/>
        </w:rPr>
        <w:t xml:space="preserve">Real Estate · Construction · Hospitality · Trading · Financial Services · Healthcare · Retail · Logistics · Government · Education</w:t>
      </w:r>
    </w:p>
    <w:p>
      <w:pPr>
        <w:spacing w:after="120"/>
      </w:pPr>
    </w:p>
    <w:p>
      <w:pPr>
        <w:pBdr>
          <w:bottom w:val="single" w:color="B8761C" w:sz="12" w:space="0"/>
        </w:pBdr>
        <w:spacing w:after="80" w:before="320"/>
      </w:pPr>
      <w:r>
        <w:rPr>
          <w:rFonts w:ascii="Arial" w:cs="Arial" w:eastAsia="Arial" w:hAnsi="Arial"/>
          <w:b/>
          <w:bCs/>
          <w:color w:val="10538F"/>
          <w:sz w:val="30"/>
          <w:szCs w:val="30"/>
        </w:rPr>
        <w:t xml:space="preserve">7. Our Power BI Services</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Eyebrow: </w:t>
      </w:r>
      <w:r>
        <w:rPr>
          <w:rFonts w:ascii="Arial" w:cs="Arial" w:eastAsia="Arial" w:hAnsi="Arial"/>
          <w:color w:val="0A1F33"/>
          <w:sz w:val="20"/>
          <w:szCs w:val="20"/>
        </w:rPr>
        <w:t xml:space="preserve">What We Do</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H2: </w:t>
      </w:r>
      <w:r>
        <w:rPr>
          <w:rFonts w:ascii="Arial" w:cs="Arial" w:eastAsia="Arial" w:hAnsi="Arial"/>
          <w:color w:val="0A1F33"/>
          <w:sz w:val="20"/>
          <w:szCs w:val="20"/>
        </w:rPr>
        <w:t xml:space="preserve">Our Power BI Services</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Intro: </w:t>
      </w:r>
      <w:r>
        <w:rPr>
          <w:rFonts w:ascii="Arial" w:cs="Arial" w:eastAsia="Arial" w:hAnsi="Arial"/>
          <w:color w:val="0A1F33"/>
          <w:sz w:val="20"/>
          <w:szCs w:val="20"/>
        </w:rPr>
        <w:t xml:space="preserve">From the first whiteboard session to the support that follows launch, the work falls into the service lines below. The engagement model you agree with us sets how many you need and when each begins.</w:t>
      </w:r>
    </w:p>
    <w:tbl>
      <w:tblPr>
        <w:tblW w:type="dxa" w:w="9800"/>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3200"/>
        <w:gridCol w:w="5900"/>
      </w:tblGrid>
      <w:tr>
        <w:tc>
          <w:tcPr>
            <w:tcW w:type="dxa" w:w="700"/>
            <w:shd w:fill="10538F" w:color="auto" w:val="clear"/>
          </w:tcPr>
          <w:p>
            <w:r>
              <w:rPr>
                <w:rFonts w:ascii="Arial" w:cs="Arial" w:eastAsia="Arial" w:hAnsi="Arial"/>
                <w:b/>
                <w:bCs/>
                <w:color w:val="FFFFFF"/>
                <w:sz w:val="19"/>
                <w:szCs w:val="19"/>
              </w:rPr>
              <w:t xml:space="preserve"/>
            </w:r>
          </w:p>
        </w:tc>
        <w:tc>
          <w:tcPr>
            <w:tcW w:type="dxa" w:w="3200"/>
            <w:shd w:fill="10538F" w:color="auto" w:val="clear"/>
          </w:tcPr>
          <w:p>
            <w:r>
              <w:rPr>
                <w:rFonts w:ascii="Arial" w:cs="Arial" w:eastAsia="Arial" w:hAnsi="Arial"/>
                <w:b/>
                <w:bCs/>
                <w:color w:val="FFFFFF"/>
                <w:sz w:val="19"/>
                <w:szCs w:val="19"/>
              </w:rPr>
              <w:t xml:space="preserve">Heading</w:t>
            </w:r>
          </w:p>
        </w:tc>
        <w:tc>
          <w:tcPr>
            <w:tcW w:type="dxa" w:w="5900"/>
            <w:shd w:fill="10538F" w:color="auto" w:val="clear"/>
          </w:tcPr>
          <w:p>
            <w:r>
              <w:rPr>
                <w:rFonts w:ascii="Arial" w:cs="Arial" w:eastAsia="Arial" w:hAnsi="Arial"/>
                <w:b/>
                <w:bCs/>
                <w:color w:val="FFFFFF"/>
                <w:sz w:val="19"/>
                <w:szCs w:val="19"/>
              </w:rPr>
              <w:t xml:space="preserve">Copy</w:t>
            </w:r>
          </w:p>
        </w:tc>
      </w:tr>
      <w:tr>
        <w:tc>
          <w:tcPr>
            <w:tcW w:type="dxa" w:w="700"/>
          </w:tcPr>
          <w:p>
            <w:r>
              <w:rPr>
                <w:rFonts w:ascii="Arial" w:cs="Arial" w:eastAsia="Arial" w:hAnsi="Arial"/>
                <w:b w:val="false"/>
                <w:bCs w:val="false"/>
                <w:color w:val="0A1F33"/>
                <w:sz w:val="18"/>
                <w:szCs w:val="18"/>
              </w:rPr>
              <w:t xml:space="preserve">1</w:t>
            </w:r>
          </w:p>
        </w:tc>
        <w:tc>
          <w:tcPr>
            <w:tcW w:type="dxa" w:w="3200"/>
          </w:tcPr>
          <w:p>
            <w:r>
              <w:rPr>
                <w:rFonts w:ascii="Arial" w:cs="Arial" w:eastAsia="Arial" w:hAnsi="Arial"/>
                <w:b w:val="false"/>
                <w:bCs w:val="false"/>
                <w:color w:val="0A1F33"/>
                <w:sz w:val="18"/>
                <w:szCs w:val="18"/>
              </w:rPr>
              <w:t xml:space="preserve">Consulting and discovery workshops</w:t>
            </w:r>
          </w:p>
        </w:tc>
        <w:tc>
          <w:tcPr>
            <w:tcW w:type="dxa" w:w="5900"/>
          </w:tcPr>
          <w:p>
            <w:r>
              <w:rPr>
                <w:rFonts w:ascii="Arial" w:cs="Arial" w:eastAsia="Arial" w:hAnsi="Arial"/>
                <w:b w:val="false"/>
                <w:bCs w:val="false"/>
                <w:color w:val="0A1F33"/>
                <w:sz w:val="18"/>
                <w:szCs w:val="18"/>
              </w:rPr>
              <w:t xml:space="preserve">We map your source systems, test how ready your people and data are for self-service reporting, and sketch an architecture that fits your plans for growth. Licence planning is part of the work: which users need Pro, who needs Premium Per User, and whether capacity makes more sense at your scale.</w:t>
            </w:r>
          </w:p>
        </w:tc>
      </w:tr>
      <w:tr>
        <w:tc>
          <w:tcPr>
            <w:tcW w:type="dxa" w:w="700"/>
          </w:tcPr>
          <w:p>
            <w:r>
              <w:rPr>
                <w:rFonts w:ascii="Arial" w:cs="Arial" w:eastAsia="Arial" w:hAnsi="Arial"/>
                <w:b w:val="false"/>
                <w:bCs w:val="false"/>
                <w:color w:val="0A1F33"/>
                <w:sz w:val="18"/>
                <w:szCs w:val="18"/>
              </w:rPr>
              <w:t xml:space="preserve">2</w:t>
            </w:r>
          </w:p>
        </w:tc>
        <w:tc>
          <w:tcPr>
            <w:tcW w:type="dxa" w:w="3200"/>
          </w:tcPr>
          <w:p>
            <w:r>
              <w:rPr>
                <w:rFonts w:ascii="Arial" w:cs="Arial" w:eastAsia="Arial" w:hAnsi="Arial"/>
                <w:b w:val="false"/>
                <w:bCs w:val="false"/>
                <w:color w:val="0A1F33"/>
                <w:sz w:val="18"/>
                <w:szCs w:val="18"/>
              </w:rPr>
              <w:t xml:space="preserve">Data preparation and ETL kickstart</w:t>
            </w:r>
          </w:p>
        </w:tc>
        <w:tc>
          <w:tcPr>
            <w:tcW w:type="dxa" w:w="5900"/>
          </w:tcPr>
          <w:p>
            <w:r>
              <w:rPr>
                <w:rFonts w:ascii="Arial" w:cs="Arial" w:eastAsia="Arial" w:hAnsi="Arial"/>
                <w:b w:val="false"/>
                <w:bCs w:val="false"/>
                <w:color w:val="0A1F33"/>
                <w:sz w:val="18"/>
                <w:szCs w:val="18"/>
              </w:rPr>
              <w:t xml:space="preserve">Dependable data comes first; the charts come later. We consolidate sources into data marts and warehouse layers, then automate loads with Azure Data Factory pipelines. When volume and system count call for it, we step up to a full lakehouse rather than stretching a smaller design.</w:t>
            </w:r>
          </w:p>
        </w:tc>
      </w:tr>
      <w:tr>
        <w:tc>
          <w:tcPr>
            <w:tcW w:type="dxa" w:w="700"/>
          </w:tcPr>
          <w:p>
            <w:r>
              <w:rPr>
                <w:rFonts w:ascii="Arial" w:cs="Arial" w:eastAsia="Arial" w:hAnsi="Arial"/>
                <w:b w:val="false"/>
                <w:bCs w:val="false"/>
                <w:color w:val="0A1F33"/>
                <w:sz w:val="18"/>
                <w:szCs w:val="18"/>
              </w:rPr>
              <w:t xml:space="preserve">3</w:t>
            </w:r>
          </w:p>
        </w:tc>
        <w:tc>
          <w:tcPr>
            <w:tcW w:type="dxa" w:w="3200"/>
          </w:tcPr>
          <w:p>
            <w:r>
              <w:rPr>
                <w:rFonts w:ascii="Arial" w:cs="Arial" w:eastAsia="Arial" w:hAnsi="Arial"/>
                <w:b w:val="false"/>
                <w:bCs w:val="false"/>
                <w:color w:val="0A1F33"/>
                <w:sz w:val="18"/>
                <w:szCs w:val="18"/>
              </w:rPr>
              <w:t xml:space="preserve">Dashboard and report development</w:t>
            </w:r>
          </w:p>
        </w:tc>
        <w:tc>
          <w:tcPr>
            <w:tcW w:type="dxa" w:w="5900"/>
          </w:tcPr>
          <w:p>
            <w:r>
              <w:rPr>
                <w:rFonts w:ascii="Arial" w:cs="Arial" w:eastAsia="Arial" w:hAnsi="Arial"/>
                <w:b w:val="false"/>
                <w:bCs w:val="false"/>
                <w:color w:val="0A1F33"/>
                <w:sz w:val="18"/>
                <w:szCs w:val="18"/>
              </w:rPr>
              <w:t xml:space="preserve">Executive dashboards and analyst reports built on optimised DAX, with mobile layouts and Arabic right-to-left design where you need it. When an existing report drags, we tune it across the pipeline, data model and semantic layers. Related design work is covered by our data visualisation services (in development).</w:t>
            </w:r>
          </w:p>
        </w:tc>
      </w:tr>
      <w:tr>
        <w:tc>
          <w:tcPr>
            <w:tcW w:type="dxa" w:w="700"/>
          </w:tcPr>
          <w:p>
            <w:r>
              <w:rPr>
                <w:rFonts w:ascii="Arial" w:cs="Arial" w:eastAsia="Arial" w:hAnsi="Arial"/>
                <w:b w:val="false"/>
                <w:bCs w:val="false"/>
                <w:color w:val="0A1F33"/>
                <w:sz w:val="18"/>
                <w:szCs w:val="18"/>
              </w:rPr>
              <w:t xml:space="preserve">4</w:t>
            </w:r>
          </w:p>
        </w:tc>
        <w:tc>
          <w:tcPr>
            <w:tcW w:type="dxa" w:w="3200"/>
          </w:tcPr>
          <w:p>
            <w:r>
              <w:rPr>
                <w:rFonts w:ascii="Arial" w:cs="Arial" w:eastAsia="Arial" w:hAnsi="Arial"/>
                <w:b w:val="false"/>
                <w:bCs w:val="false"/>
                <w:color w:val="0A1F33"/>
                <w:sz w:val="18"/>
                <w:szCs w:val="18"/>
              </w:rPr>
              <w:t xml:space="preserve">Connectors and system integration</w:t>
            </w:r>
          </w:p>
        </w:tc>
        <w:tc>
          <w:tcPr>
            <w:tcW w:type="dxa" w:w="5900"/>
          </w:tcPr>
          <w:p>
            <w:r>
              <w:rPr>
                <w:rFonts w:ascii="Arial" w:cs="Arial" w:eastAsia="Arial" w:hAnsi="Arial"/>
                <w:b w:val="false"/>
                <w:bCs w:val="false"/>
                <w:color w:val="0A1F33"/>
                <w:sz w:val="18"/>
                <w:szCs w:val="18"/>
              </w:rPr>
              <w:t xml:space="preserve">We set up certified connectors, write custom connectors for sources without an off-the-shelf option, and bring ERP, CRM and finance systems together in one governed reporting layer. We also install and configure the on-premises data gateway, then test refresh for every source behind your firewall.</w:t>
            </w:r>
          </w:p>
        </w:tc>
      </w:tr>
      <w:tr>
        <w:tc>
          <w:tcPr>
            <w:tcW w:type="dxa" w:w="700"/>
          </w:tcPr>
          <w:p>
            <w:r>
              <w:rPr>
                <w:rFonts w:ascii="Arial" w:cs="Arial" w:eastAsia="Arial" w:hAnsi="Arial"/>
                <w:b w:val="false"/>
                <w:bCs w:val="false"/>
                <w:color w:val="0A1F33"/>
                <w:sz w:val="18"/>
                <w:szCs w:val="18"/>
              </w:rPr>
              <w:t xml:space="preserve">5</w:t>
            </w:r>
          </w:p>
        </w:tc>
        <w:tc>
          <w:tcPr>
            <w:tcW w:type="dxa" w:w="3200"/>
          </w:tcPr>
          <w:p>
            <w:r>
              <w:rPr>
                <w:rFonts w:ascii="Arial" w:cs="Arial" w:eastAsia="Arial" w:hAnsi="Arial"/>
                <w:b w:val="false"/>
                <w:bCs w:val="false"/>
                <w:color w:val="0A1F33"/>
                <w:sz w:val="18"/>
                <w:szCs w:val="18"/>
              </w:rPr>
              <w:t xml:space="preserve">Migration, embedded analytics and Fabric readiness</w:t>
            </w:r>
          </w:p>
        </w:tc>
        <w:tc>
          <w:tcPr>
            <w:tcW w:type="dxa" w:w="5900"/>
          </w:tcPr>
          <w:p>
            <w:r>
              <w:rPr>
                <w:rFonts w:ascii="Arial" w:cs="Arial" w:eastAsia="Arial" w:hAnsi="Arial"/>
                <w:b w:val="false"/>
                <w:bCs w:val="false"/>
                <w:color w:val="0A1F33"/>
                <w:sz w:val="18"/>
                <w:szCs w:val="18"/>
              </w:rPr>
              <w:t xml:space="preserve">Move reporting off spreadsheets or another BI tool such as Tableau or Qlik, without losing the logic your teams rely on. We embed dashboards in customer and investor portals with Power BI Embedded, and assess whether Microsoft Fabric is the right next step ahead of planning a migration.</w:t>
            </w:r>
          </w:p>
        </w:tc>
      </w:tr>
      <w:tr>
        <w:tc>
          <w:tcPr>
            <w:tcW w:type="dxa" w:w="700"/>
          </w:tcPr>
          <w:p>
            <w:r>
              <w:rPr>
                <w:rFonts w:ascii="Arial" w:cs="Arial" w:eastAsia="Arial" w:hAnsi="Arial"/>
                <w:b w:val="false"/>
                <w:bCs w:val="false"/>
                <w:color w:val="0A1F33"/>
                <w:sz w:val="18"/>
                <w:szCs w:val="18"/>
              </w:rPr>
              <w:t xml:space="preserve">6</w:t>
            </w:r>
          </w:p>
        </w:tc>
        <w:tc>
          <w:tcPr>
            <w:tcW w:type="dxa" w:w="3200"/>
          </w:tcPr>
          <w:p>
            <w:r>
              <w:rPr>
                <w:rFonts w:ascii="Arial" w:cs="Arial" w:eastAsia="Arial" w:hAnsi="Arial"/>
                <w:b w:val="false"/>
                <w:bCs w:val="false"/>
                <w:color w:val="0A1F33"/>
                <w:sz w:val="18"/>
                <w:szCs w:val="18"/>
              </w:rPr>
              <w:t xml:space="preserve">Training and continuous support</w:t>
            </w:r>
          </w:p>
        </w:tc>
        <w:tc>
          <w:tcPr>
            <w:tcW w:type="dxa" w:w="5900"/>
          </w:tcPr>
          <w:p>
            <w:r>
              <w:rPr>
                <w:rFonts w:ascii="Arial" w:cs="Arial" w:eastAsia="Arial" w:hAnsi="Arial"/>
                <w:b w:val="false"/>
                <w:bCs w:val="false"/>
                <w:color w:val="0A1F33"/>
                <w:sz w:val="18"/>
                <w:szCs w:val="18"/>
              </w:rPr>
              <w:t xml:space="preserve">Three tracks: Executive, for reading and questioning dashboards; Business User, for building reports; and Developer, for data modelling and advanced DAX. Sessions run on-site in Dubai, remotely or in a hybrid format, with Arabic-language delivery available. Documentation and ongoing support keep the platform healthy after handover.</w:t>
            </w:r>
          </w:p>
        </w:tc>
      </w:tr>
    </w:tbl>
    <w:p>
      <w:pPr>
        <w:spacing w:after="120"/>
      </w:pPr>
    </w:p>
    <w:p>
      <w:pPr>
        <w:pBdr>
          <w:bottom w:val="single" w:color="B8761C" w:sz="12" w:space="0"/>
        </w:pBdr>
        <w:spacing w:after="80" w:before="320"/>
      </w:pPr>
      <w:r>
        <w:rPr>
          <w:rFonts w:ascii="Arial" w:cs="Arial" w:eastAsia="Arial" w:hAnsi="Arial"/>
          <w:b/>
          <w:bCs/>
          <w:color w:val="10538F"/>
          <w:sz w:val="30"/>
          <w:szCs w:val="30"/>
        </w:rPr>
        <w:t xml:space="preserve">8. 5-Step Proof of Concept</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Eyebrow: </w:t>
      </w:r>
      <w:r>
        <w:rPr>
          <w:rFonts w:ascii="Arial" w:cs="Arial" w:eastAsia="Arial" w:hAnsi="Arial"/>
          <w:color w:val="0A1F33"/>
          <w:sz w:val="20"/>
          <w:szCs w:val="20"/>
        </w:rPr>
        <w:t xml:space="preserve">How We Deliver</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H2: </w:t>
      </w:r>
      <w:r>
        <w:rPr>
          <w:rFonts w:ascii="Arial" w:cs="Arial" w:eastAsia="Arial" w:hAnsi="Arial"/>
          <w:color w:val="0A1F33"/>
          <w:sz w:val="20"/>
          <w:szCs w:val="20"/>
        </w:rPr>
        <w:t xml:space="preserve">A Working Power BI Dashboard on Your Data in 7 Days</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Intro: </w:t>
      </w:r>
      <w:r>
        <w:rPr>
          <w:rFonts w:ascii="Arial" w:cs="Arial" w:eastAsia="Arial" w:hAnsi="Arial"/>
          <w:color w:val="0A1F33"/>
          <w:sz w:val="20"/>
          <w:szCs w:val="20"/>
        </w:rPr>
        <w:t xml:space="preserve">A proof of concept shows the value on your own data, measured against success criteria agreed at the start, well before any larger investment is on the table. The next decision is then made on working evidence, not on a slide deck.</w:t>
      </w:r>
    </w:p>
    <w:p>
      <w:pPr>
        <w:spacing w:after="120"/>
        <w:jc w:val="both"/>
      </w:pPr>
      <w:r>
        <w:rPr>
          <w:rFonts w:ascii="Arial" w:cs="Arial" w:eastAsia="Arial" w:hAnsi="Arial"/>
          <w:color w:val="0A1F33"/>
          <w:sz w:val="20"/>
          <w:szCs w:val="20"/>
        </w:rPr>
        <w:t xml:space="preserve">Five-step timeline:</w:t>
      </w:r>
    </w:p>
    <w:p>
      <w:pPr>
        <w:spacing w:after="120"/>
        <w:ind w:left="216"/>
        <w:jc w:val="both"/>
      </w:pPr>
      <w:r>
        <w:rPr>
          <w:rFonts w:ascii="Arial" w:cs="Arial" w:eastAsia="Arial" w:hAnsi="Arial"/>
          <w:b/>
          <w:bCs/>
          <w:color w:val="0A1F33"/>
          <w:sz w:val="20"/>
          <w:szCs w:val="20"/>
        </w:rPr>
        <w:t xml:space="preserve">1.  Requirements</w:t>
      </w:r>
      <w:r>
        <w:rPr>
          <w:rFonts w:ascii="Arial" w:cs="Arial" w:eastAsia="Arial" w:hAnsi="Arial"/>
          <w:color w:val="0A1F33"/>
          <w:sz w:val="20"/>
          <w:szCs w:val="20"/>
        </w:rPr>
        <w:t xml:space="preserve">  -  </w:t>
      </w:r>
      <w:r>
        <w:rPr>
          <w:rFonts w:ascii="Arial" w:cs="Arial" w:eastAsia="Arial" w:hAnsi="Arial"/>
          <w:color w:val="0A1F33"/>
          <w:sz w:val="20"/>
          <w:szCs w:val="20"/>
        </w:rPr>
        <w:t xml:space="preserve">A structured workshop pins down your objectives, the KPIs that matter, the data sources involved and how success will be judged.</w:t>
      </w:r>
    </w:p>
    <w:p>
      <w:pPr>
        <w:spacing w:after="120"/>
        <w:ind w:left="216"/>
        <w:jc w:val="both"/>
      </w:pPr>
      <w:r>
        <w:rPr>
          <w:rFonts w:ascii="Arial" w:cs="Arial" w:eastAsia="Arial" w:hAnsi="Arial"/>
          <w:b/>
          <w:bCs/>
          <w:color w:val="0A1F33"/>
          <w:sz w:val="20"/>
          <w:szCs w:val="20"/>
        </w:rPr>
        <w:t xml:space="preserve">2.  Data preparation</w:t>
      </w:r>
      <w:r>
        <w:rPr>
          <w:rFonts w:ascii="Arial" w:cs="Arial" w:eastAsia="Arial" w:hAnsi="Arial"/>
          <w:color w:val="0A1F33"/>
          <w:sz w:val="20"/>
          <w:szCs w:val="20"/>
        </w:rPr>
        <w:t xml:space="preserve">  -  </w:t>
      </w:r>
      <w:r>
        <w:rPr>
          <w:rFonts w:ascii="Arial" w:cs="Arial" w:eastAsia="Arial" w:hAnsi="Arial"/>
          <w:color w:val="0A1F33"/>
          <w:sz w:val="20"/>
          <w:szCs w:val="20"/>
        </w:rPr>
        <w:t xml:space="preserve">Your raw extracts are loaded, cleaned and reshaped until they can be trusted, then modelled for fast reporting.</w:t>
      </w:r>
    </w:p>
    <w:p>
      <w:pPr>
        <w:spacing w:after="120"/>
        <w:ind w:left="216"/>
        <w:jc w:val="both"/>
      </w:pPr>
      <w:r>
        <w:rPr>
          <w:rFonts w:ascii="Arial" w:cs="Arial" w:eastAsia="Arial" w:hAnsi="Arial"/>
          <w:b/>
          <w:bCs/>
          <w:color w:val="0A1F33"/>
          <w:sz w:val="20"/>
          <w:szCs w:val="20"/>
        </w:rPr>
        <w:t xml:space="preserve">3.  Design and mockup</w:t>
      </w:r>
      <w:r>
        <w:rPr>
          <w:rFonts w:ascii="Arial" w:cs="Arial" w:eastAsia="Arial" w:hAnsi="Arial"/>
          <w:color w:val="0A1F33"/>
          <w:sz w:val="20"/>
          <w:szCs w:val="20"/>
        </w:rPr>
        <w:t xml:space="preserve">  -  </w:t>
      </w:r>
      <w:r>
        <w:rPr>
          <w:rFonts w:ascii="Arial" w:cs="Arial" w:eastAsia="Arial" w:hAnsi="Arial"/>
          <w:color w:val="0A1F33"/>
          <w:sz w:val="20"/>
          <w:szCs w:val="20"/>
        </w:rPr>
        <w:t xml:space="preserve">Wireframes and visual mockups go to your stakeholders, and nothing is built until they approve the design.</w:t>
      </w:r>
    </w:p>
    <w:p>
      <w:pPr>
        <w:spacing w:after="120"/>
        <w:ind w:left="216"/>
        <w:jc w:val="both"/>
      </w:pPr>
      <w:r>
        <w:rPr>
          <w:rFonts w:ascii="Arial" w:cs="Arial" w:eastAsia="Arial" w:hAnsi="Arial"/>
          <w:b/>
          <w:bCs/>
          <w:color w:val="0A1F33"/>
          <w:sz w:val="20"/>
          <w:szCs w:val="20"/>
        </w:rPr>
        <w:t xml:space="preserve">4.  Development</w:t>
      </w:r>
      <w:r>
        <w:rPr>
          <w:rFonts w:ascii="Arial" w:cs="Arial" w:eastAsia="Arial" w:hAnsi="Arial"/>
          <w:color w:val="0A1F33"/>
          <w:sz w:val="20"/>
          <w:szCs w:val="20"/>
        </w:rPr>
        <w:t xml:space="preserve">  -  </w:t>
      </w:r>
      <w:r>
        <w:rPr>
          <w:rFonts w:ascii="Arial" w:cs="Arial" w:eastAsia="Arial" w:hAnsi="Arial"/>
          <w:color w:val="0A1F33"/>
          <w:sz w:val="20"/>
          <w:szCs w:val="20"/>
        </w:rPr>
        <w:t xml:space="preserve">Our developers build the interactive pages exactly as signed off, on top of the models from step two.</w:t>
      </w:r>
    </w:p>
    <w:p>
      <w:pPr>
        <w:spacing w:after="120"/>
        <w:ind w:left="216"/>
        <w:jc w:val="both"/>
      </w:pPr>
      <w:r>
        <w:rPr>
          <w:rFonts w:ascii="Arial" w:cs="Arial" w:eastAsia="Arial" w:hAnsi="Arial"/>
          <w:b/>
          <w:bCs/>
          <w:color w:val="0A1F33"/>
          <w:sz w:val="20"/>
          <w:szCs w:val="20"/>
        </w:rPr>
        <w:t xml:space="preserve">5.  Delivery and review</w:t>
      </w:r>
      <w:r>
        <w:rPr>
          <w:rFonts w:ascii="Arial" w:cs="Arial" w:eastAsia="Arial" w:hAnsi="Arial"/>
          <w:color w:val="0A1F33"/>
          <w:sz w:val="20"/>
          <w:szCs w:val="20"/>
        </w:rPr>
        <w:t xml:space="preserve">  -  </w:t>
      </w:r>
      <w:r>
        <w:rPr>
          <w:rFonts w:ascii="Arial" w:cs="Arial" w:eastAsia="Arial" w:hAnsi="Arial"/>
          <w:color w:val="0A1F33"/>
          <w:sz w:val="20"/>
          <w:szCs w:val="20"/>
        </w:rPr>
        <w:t xml:space="preserve">Users get hands-on training and give feedback, one revision round follows, and the finished app goes live in your tenant.</w:t>
      </w:r>
    </w:p>
    <w:p>
      <w:pPr>
        <w:spacing w:after="120"/>
      </w:pPr>
    </w:p>
    <w:p>
      <w:pPr>
        <w:pBdr>
          <w:bottom w:val="single" w:color="B8761C" w:sz="12" w:space="0"/>
        </w:pBdr>
        <w:spacing w:after="80" w:before="320"/>
      </w:pPr>
      <w:r>
        <w:rPr>
          <w:rFonts w:ascii="Arial" w:cs="Arial" w:eastAsia="Arial" w:hAnsi="Arial"/>
          <w:b/>
          <w:bCs/>
          <w:color w:val="10538F"/>
          <w:sz w:val="30"/>
          <w:szCs w:val="30"/>
        </w:rPr>
        <w:t xml:space="preserve">9. Engagement Models</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Eyebrow: </w:t>
      </w:r>
      <w:r>
        <w:rPr>
          <w:rFonts w:ascii="Arial" w:cs="Arial" w:eastAsia="Arial" w:hAnsi="Arial"/>
          <w:color w:val="0A1F33"/>
          <w:sz w:val="20"/>
          <w:szCs w:val="20"/>
        </w:rPr>
        <w:t xml:space="preserve">Engagement Models</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H2: </w:t>
      </w:r>
      <w:r>
        <w:rPr>
          <w:rFonts w:ascii="Arial" w:cs="Arial" w:eastAsia="Arial" w:hAnsi="Arial"/>
          <w:color w:val="0A1F33"/>
          <w:sz w:val="20"/>
          <w:szCs w:val="20"/>
        </w:rPr>
        <w:t xml:space="preserve">Engagement Models That Match Where You Are Today</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Intro: </w:t>
      </w:r>
      <w:r>
        <w:rPr>
          <w:rFonts w:ascii="Arial" w:cs="Arial" w:eastAsia="Arial" w:hAnsi="Arial"/>
          <w:color w:val="0A1F33"/>
          <w:sz w:val="20"/>
          <w:szCs w:val="20"/>
        </w:rPr>
        <w:t xml:space="preserve">Some teams want a quick, fixed-scope win. Others need a phased rollout across departments, or specialist expertise added to an in-house BI team. Pick the model that fits your starting point and change it as you grow.</w:t>
      </w:r>
    </w:p>
    <w:p>
      <w:pPr>
        <w:spacing w:after="60" w:before="160"/>
      </w:pPr>
      <w:r>
        <w:rPr>
          <w:rFonts w:ascii="Arial" w:cs="Arial" w:eastAsia="Arial" w:hAnsi="Arial"/>
          <w:b/>
          <w:bCs/>
          <w:color w:val="000000"/>
          <w:sz w:val="24"/>
          <w:szCs w:val="24"/>
        </w:rPr>
        <w:t xml:space="preserve">Featured offer: Microsoft Power BI PowerUP! (Limited offer)</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Price: </w:t>
      </w:r>
      <w:r>
        <w:rPr>
          <w:rFonts w:ascii="Arial" w:cs="Arial" w:eastAsia="Arial" w:hAnsi="Arial"/>
          <w:color w:val="0A1F33"/>
          <w:sz w:val="20"/>
          <w:szCs w:val="20"/>
        </w:rPr>
        <w:t xml:space="preserve">$4,500 fixed-price accelerator</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Story: </w:t>
      </w:r>
      <w:r>
        <w:rPr>
          <w:rFonts w:ascii="Arial" w:cs="Arial" w:eastAsia="Arial" w:hAnsi="Arial"/>
          <w:color w:val="0A1F33"/>
          <w:sz w:val="20"/>
          <w:szCs w:val="20"/>
        </w:rPr>
        <w:t xml:space="preserve">PowerUP! is for teams with questions they can't yet answer from data they already own. From workshop to go-live, we wire in your spreadsheets and exports, then sit down with you to choose the KPIs that answer those questions first. Scope is capped, which is what keeps the price fixed.</w:t>
      </w:r>
    </w:p>
    <w:p>
      <w:pPr>
        <w:spacing w:after="120"/>
        <w:ind w:left="216"/>
        <w:jc w:val="both"/>
      </w:pPr>
      <w:r>
        <w:rPr>
          <w:rFonts w:ascii="Arial" w:cs="Arial" w:eastAsia="Arial" w:hAnsi="Arial"/>
          <w:b/>
          <w:bCs/>
          <w:color w:val="0A1F33"/>
          <w:sz w:val="18"/>
          <w:szCs w:val="18"/>
        </w:rPr>
        <w:t xml:space="preserve">Key capabilities: </w:t>
      </w:r>
      <w:r>
        <w:rPr>
          <w:rFonts w:ascii="Arial" w:cs="Arial" w:eastAsia="Arial" w:hAnsi="Arial"/>
          <w:color w:val="0A1F33"/>
          <w:sz w:val="18"/>
          <w:szCs w:val="18"/>
        </w:rPr>
        <w:t xml:space="preserve">A requirements workshop to capture a clear use case · File-based data sources supplied by you · Up to 5 report tabs · Up to 2 consumer personas · Design approved at mockup, plus 1 revision round after functional delivery</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Deliverables: </w:t>
      </w:r>
      <w:r>
        <w:rPr>
          <w:rFonts w:ascii="Arial" w:cs="Arial" w:eastAsia="Arial" w:hAnsi="Arial"/>
          <w:color w:val="0A1F33"/>
          <w:sz w:val="20"/>
          <w:szCs w:val="20"/>
        </w:rPr>
        <w:t xml:space="preserve">Requirements workshop documentation · Data transformation scripts · Data model diagram · Data dictionary · Completed reports and dashboards · A published Power BI app</w:t>
      </w:r>
    </w:p>
    <w:p>
      <w:pPr>
        <w:spacing w:after="60" w:before="160"/>
      </w:pPr>
      <w:r>
        <w:rPr>
          <w:rFonts w:ascii="Arial" w:cs="Arial" w:eastAsia="Arial" w:hAnsi="Arial"/>
          <w:b/>
          <w:bCs/>
          <w:color w:val="000000"/>
          <w:sz w:val="24"/>
          <w:szCs w:val="24"/>
        </w:rPr>
        <w:t xml:space="preserve">Tab 1: Explore — see it working before you spend on a full build</w:t>
      </w:r>
    </w:p>
    <w:p>
      <w:pPr>
        <w:spacing w:after="120"/>
        <w:ind w:left="216"/>
        <w:jc w:val="both"/>
      </w:pPr>
      <w:r>
        <w:rPr>
          <w:rFonts w:ascii="Arial" w:cs="Arial" w:eastAsia="Arial" w:hAnsi="Arial"/>
          <w:b/>
          <w:bCs/>
          <w:color w:val="0A1F33"/>
          <w:sz w:val="20"/>
          <w:szCs w:val="20"/>
        </w:rPr>
        <w:t xml:space="preserve">1.  Live demo</w:t>
      </w:r>
      <w:r>
        <w:rPr>
          <w:rFonts w:ascii="Arial" w:cs="Arial" w:eastAsia="Arial" w:hAnsi="Arial"/>
          <w:color w:val="0A1F33"/>
          <w:sz w:val="20"/>
          <w:szCs w:val="20"/>
        </w:rPr>
        <w:t xml:space="preserve">  -  </w:t>
      </w:r>
      <w:r>
        <w:rPr>
          <w:rFonts w:ascii="Arial" w:cs="Arial" w:eastAsia="Arial" w:hAnsi="Arial"/>
          <w:color w:val="0A1F33"/>
          <w:sz w:val="20"/>
          <w:szCs w:val="20"/>
        </w:rPr>
        <w:t xml:space="preserve">A consultant-led session exploring dashboards built on sample data or extracts you share.</w:t>
      </w:r>
    </w:p>
    <w:p>
      <w:pPr>
        <w:spacing w:after="120"/>
        <w:ind w:left="216"/>
        <w:jc w:val="both"/>
      </w:pPr>
      <w:r>
        <w:rPr>
          <w:rFonts w:ascii="Arial" w:cs="Arial" w:eastAsia="Arial" w:hAnsi="Arial"/>
          <w:b/>
          <w:bCs/>
          <w:color w:val="0A1F33"/>
          <w:sz w:val="20"/>
          <w:szCs w:val="20"/>
        </w:rPr>
        <w:t xml:space="preserve">2.  Proof of concept</w:t>
      </w:r>
      <w:r>
        <w:rPr>
          <w:rFonts w:ascii="Arial" w:cs="Arial" w:eastAsia="Arial" w:hAnsi="Arial"/>
          <w:color w:val="0A1F33"/>
          <w:sz w:val="20"/>
          <w:szCs w:val="20"/>
        </w:rPr>
        <w:t xml:space="preserve">  -  </w:t>
      </w:r>
      <w:r>
        <w:rPr>
          <w:rFonts w:ascii="Arial" w:cs="Arial" w:eastAsia="Arial" w:hAnsi="Arial"/>
          <w:color w:val="0A1F33"/>
          <w:sz w:val="20"/>
          <w:szCs w:val="20"/>
        </w:rPr>
        <w:t xml:space="preserve">A scoped build on your data and KPIs, following the five steps above.</w:t>
      </w:r>
    </w:p>
    <w:p>
      <w:pPr>
        <w:spacing w:after="60" w:before="160"/>
      </w:pPr>
      <w:r>
        <w:rPr>
          <w:rFonts w:ascii="Arial" w:cs="Arial" w:eastAsia="Arial" w:hAnsi="Arial"/>
          <w:b/>
          <w:bCs/>
          <w:color w:val="000000"/>
          <w:sz w:val="24"/>
          <w:szCs w:val="24"/>
        </w:rPr>
        <w:t xml:space="preserve">Tab 2: Implement — rollouts scoped to one team, several, or the enterprise</w:t>
      </w:r>
    </w:p>
    <w:p>
      <w:pPr>
        <w:spacing w:after="120"/>
        <w:ind w:left="216"/>
        <w:jc w:val="both"/>
      </w:pPr>
      <w:r>
        <w:rPr>
          <w:rFonts w:ascii="Arial" w:cs="Arial" w:eastAsia="Arial" w:hAnsi="Arial"/>
          <w:b/>
          <w:bCs/>
          <w:color w:val="0A1F33"/>
          <w:sz w:val="20"/>
          <w:szCs w:val="20"/>
        </w:rPr>
        <w:t xml:space="preserve">1.  Single-department rollout</w:t>
      </w:r>
      <w:r>
        <w:rPr>
          <w:rFonts w:ascii="Arial" w:cs="Arial" w:eastAsia="Arial" w:hAnsi="Arial"/>
          <w:color w:val="0A1F33"/>
          <w:sz w:val="20"/>
          <w:szCs w:val="20"/>
        </w:rPr>
        <w:t xml:space="preserve">  -  </w:t>
      </w:r>
      <w:r>
        <w:rPr>
          <w:rFonts w:ascii="Arial" w:cs="Arial" w:eastAsia="Arial" w:hAnsi="Arial"/>
          <w:color w:val="0A1F33"/>
          <w:sz w:val="20"/>
          <w:szCs w:val="20"/>
        </w:rPr>
        <w:t xml:space="preserve">Models, dashboards and access rules for one function, such as finance or sales.</w:t>
      </w:r>
    </w:p>
    <w:p>
      <w:pPr>
        <w:spacing w:after="120"/>
        <w:ind w:left="216"/>
        <w:jc w:val="both"/>
      </w:pPr>
      <w:r>
        <w:rPr>
          <w:rFonts w:ascii="Arial" w:cs="Arial" w:eastAsia="Arial" w:hAnsi="Arial"/>
          <w:b/>
          <w:bCs/>
          <w:color w:val="0A1F33"/>
          <w:sz w:val="20"/>
          <w:szCs w:val="20"/>
        </w:rPr>
        <w:t xml:space="preserve">2.  Multi-department programme</w:t>
      </w:r>
      <w:r>
        <w:rPr>
          <w:rFonts w:ascii="Arial" w:cs="Arial" w:eastAsia="Arial" w:hAnsi="Arial"/>
          <w:color w:val="0A1F33"/>
          <w:sz w:val="20"/>
          <w:szCs w:val="20"/>
        </w:rPr>
        <w:t xml:space="preserve">  -  </w:t>
      </w:r>
      <w:r>
        <w:rPr>
          <w:rFonts w:ascii="Arial" w:cs="Arial" w:eastAsia="Arial" w:hAnsi="Arial"/>
          <w:color w:val="0A1F33"/>
          <w:sz w:val="20"/>
          <w:szCs w:val="20"/>
        </w:rPr>
        <w:t xml:space="preserve">Shared semantic models and a workspace structure that several departments can build on together.</w:t>
      </w:r>
    </w:p>
    <w:p>
      <w:pPr>
        <w:spacing w:after="120"/>
        <w:ind w:left="216"/>
        <w:jc w:val="both"/>
      </w:pPr>
      <w:r>
        <w:rPr>
          <w:rFonts w:ascii="Arial" w:cs="Arial" w:eastAsia="Arial" w:hAnsi="Arial"/>
          <w:b/>
          <w:bCs/>
          <w:color w:val="0A1F33"/>
          <w:sz w:val="20"/>
          <w:szCs w:val="20"/>
        </w:rPr>
        <w:t xml:space="preserve">3.  Enterprise platform with a data lakehouse</w:t>
      </w:r>
      <w:r>
        <w:rPr>
          <w:rFonts w:ascii="Arial" w:cs="Arial" w:eastAsia="Arial" w:hAnsi="Arial"/>
          <w:color w:val="0A1F33"/>
          <w:sz w:val="20"/>
          <w:szCs w:val="20"/>
        </w:rPr>
        <w:t xml:space="preserve">  -  </w:t>
      </w:r>
      <w:r>
        <w:rPr>
          <w:rFonts w:ascii="Arial" w:cs="Arial" w:eastAsia="Arial" w:hAnsi="Arial"/>
          <w:color w:val="0A1F33"/>
          <w:sz w:val="20"/>
          <w:szCs w:val="20"/>
        </w:rPr>
        <w:t xml:space="preserve">Group-wide reporting on a medallion lakehouse, governed centrally and delivered in phases.</w:t>
      </w:r>
    </w:p>
    <w:p>
      <w:pPr>
        <w:spacing w:after="60" w:before="160"/>
      </w:pPr>
      <w:r>
        <w:rPr>
          <w:rFonts w:ascii="Arial" w:cs="Arial" w:eastAsia="Arial" w:hAnsi="Arial"/>
          <w:b/>
          <w:bCs/>
          <w:color w:val="000000"/>
          <w:sz w:val="24"/>
          <w:szCs w:val="24"/>
        </w:rPr>
        <w:t xml:space="preserve">Tab 3: Extend — specialist help for the parts your team hasn't covered yet</w:t>
      </w:r>
    </w:p>
    <w:p>
      <w:pPr>
        <w:spacing w:after="120"/>
        <w:ind w:left="216"/>
        <w:jc w:val="both"/>
      </w:pPr>
      <w:r>
        <w:rPr>
          <w:rFonts w:ascii="Arial" w:cs="Arial" w:eastAsia="Arial" w:hAnsi="Arial"/>
          <w:b/>
          <w:bCs/>
          <w:color w:val="0A1F33"/>
          <w:sz w:val="20"/>
          <w:szCs w:val="20"/>
        </w:rPr>
        <w:t xml:space="preserve">1.  Connector help</w:t>
      </w:r>
      <w:r>
        <w:rPr>
          <w:rFonts w:ascii="Arial" w:cs="Arial" w:eastAsia="Arial" w:hAnsi="Arial"/>
          <w:color w:val="0A1F33"/>
          <w:sz w:val="20"/>
          <w:szCs w:val="20"/>
        </w:rPr>
        <w:t xml:space="preserve">  -  </w:t>
      </w:r>
      <w:r>
        <w:rPr>
          <w:rFonts w:ascii="Arial" w:cs="Arial" w:eastAsia="Arial" w:hAnsi="Arial"/>
          <w:color w:val="0A1F33"/>
          <w:sz w:val="20"/>
          <w:szCs w:val="20"/>
        </w:rPr>
        <w:t xml:space="preserve">Existing connectors configured, or custom ones written, for sources your reports depend on.</w:t>
      </w:r>
    </w:p>
    <w:p>
      <w:pPr>
        <w:spacing w:after="120"/>
        <w:ind w:left="216"/>
        <w:jc w:val="both"/>
      </w:pPr>
      <w:r>
        <w:rPr>
          <w:rFonts w:ascii="Arial" w:cs="Arial" w:eastAsia="Arial" w:hAnsi="Arial"/>
          <w:b/>
          <w:bCs/>
          <w:color w:val="0A1F33"/>
          <w:sz w:val="20"/>
          <w:szCs w:val="20"/>
        </w:rPr>
        <w:t xml:space="preserve">2.  Augmented expertise</w:t>
      </w:r>
      <w:r>
        <w:rPr>
          <w:rFonts w:ascii="Arial" w:cs="Arial" w:eastAsia="Arial" w:hAnsi="Arial"/>
          <w:color w:val="0A1F33"/>
          <w:sz w:val="20"/>
          <w:szCs w:val="20"/>
        </w:rPr>
        <w:t xml:space="preserve">  -  </w:t>
      </w:r>
      <w:r>
        <w:rPr>
          <w:rFonts w:ascii="Arial" w:cs="Arial" w:eastAsia="Arial" w:hAnsi="Arial"/>
          <w:color w:val="0A1F33"/>
          <w:sz w:val="20"/>
          <w:szCs w:val="20"/>
        </w:rPr>
        <w:t xml:space="preserve">A Power BI solutions expert working inside your team, on short-term contract or long-term retainer.</w:t>
      </w:r>
    </w:p>
    <w:p>
      <w:pPr>
        <w:spacing w:after="60" w:before="160"/>
      </w:pPr>
      <w:r>
        <w:rPr>
          <w:rFonts w:ascii="Arial" w:cs="Arial" w:eastAsia="Arial" w:hAnsi="Arial"/>
          <w:b/>
          <w:bCs/>
          <w:color w:val="000000"/>
          <w:sz w:val="24"/>
          <w:szCs w:val="24"/>
        </w:rPr>
        <w:t xml:space="preserve">Tab 4: Support — ongoing care once your dashboards are part of daily work</w:t>
      </w:r>
    </w:p>
    <w:p>
      <w:pPr>
        <w:spacing w:after="120"/>
        <w:ind w:left="216"/>
        <w:jc w:val="both"/>
      </w:pPr>
      <w:r>
        <w:rPr>
          <w:rFonts w:ascii="Arial" w:cs="Arial" w:eastAsia="Arial" w:hAnsi="Arial"/>
          <w:b/>
          <w:bCs/>
          <w:color w:val="0A1F33"/>
          <w:sz w:val="20"/>
          <w:szCs w:val="20"/>
        </w:rPr>
        <w:t xml:space="preserve">1.  Performance monitoring and troubleshooting</w:t>
      </w:r>
      <w:r>
        <w:rPr>
          <w:rFonts w:ascii="Arial" w:cs="Arial" w:eastAsia="Arial" w:hAnsi="Arial"/>
          <w:color w:val="0A1F33"/>
          <w:sz w:val="20"/>
          <w:szCs w:val="20"/>
        </w:rPr>
        <w:t xml:space="preserve">  -  </w:t>
      </w:r>
      <w:r>
        <w:rPr>
          <w:rFonts w:ascii="Arial" w:cs="Arial" w:eastAsia="Arial" w:hAnsi="Arial"/>
          <w:color w:val="0A1F33"/>
          <w:sz w:val="20"/>
          <w:szCs w:val="20"/>
        </w:rPr>
        <w:t xml:space="preserve">Refresh failures, slow pages and data issues investigated and fixed by consultants who know your model.</w:t>
      </w:r>
    </w:p>
    <w:p>
      <w:pPr>
        <w:spacing w:after="120"/>
        <w:ind w:left="216"/>
        <w:jc w:val="both"/>
      </w:pPr>
      <w:r>
        <w:rPr>
          <w:rFonts w:ascii="Arial" w:cs="Arial" w:eastAsia="Arial" w:hAnsi="Arial"/>
          <w:b/>
          <w:bCs/>
          <w:color w:val="0A1F33"/>
          <w:sz w:val="20"/>
          <w:szCs w:val="20"/>
        </w:rPr>
        <w:t xml:space="preserve">2.  Quarterly health checks</w:t>
      </w:r>
      <w:r>
        <w:rPr>
          <w:rFonts w:ascii="Arial" w:cs="Arial" w:eastAsia="Arial" w:hAnsi="Arial"/>
          <w:color w:val="0A1F33"/>
          <w:sz w:val="20"/>
          <w:szCs w:val="20"/>
        </w:rPr>
        <w:t xml:space="preserve">  -  </w:t>
      </w:r>
      <w:r>
        <w:rPr>
          <w:rFonts w:ascii="Arial" w:cs="Arial" w:eastAsia="Arial" w:hAnsi="Arial"/>
          <w:color w:val="0A1F33"/>
          <w:sz w:val="20"/>
          <w:szCs w:val="20"/>
        </w:rPr>
        <w:t xml:space="preserve">A review every quarter of models, refresh schedules, capacity use and security settings.</w:t>
      </w:r>
    </w:p>
    <w:p>
      <w:pPr>
        <w:spacing w:after="120"/>
        <w:ind w:left="216"/>
        <w:jc w:val="both"/>
      </w:pPr>
      <w:r>
        <w:rPr>
          <w:rFonts w:ascii="Arial" w:cs="Arial" w:eastAsia="Arial" w:hAnsi="Arial"/>
          <w:b/>
          <w:bCs/>
          <w:color w:val="0A1F33"/>
          <w:sz w:val="20"/>
          <w:szCs w:val="20"/>
        </w:rPr>
        <w:t xml:space="preserve">3.  New dashboards as needs change</w:t>
      </w:r>
      <w:r>
        <w:rPr>
          <w:rFonts w:ascii="Arial" w:cs="Arial" w:eastAsia="Arial" w:hAnsi="Arial"/>
          <w:color w:val="0A1F33"/>
          <w:sz w:val="20"/>
          <w:szCs w:val="20"/>
        </w:rPr>
        <w:t xml:space="preserve">  -  </w:t>
      </w:r>
      <w:r>
        <w:rPr>
          <w:rFonts w:ascii="Arial" w:cs="Arial" w:eastAsia="Arial" w:hAnsi="Arial"/>
          <w:color w:val="0A1F33"/>
          <w:sz w:val="20"/>
          <w:szCs w:val="20"/>
        </w:rPr>
        <w:t xml:space="preserve">Extra pages, measures and reports added when the business starts asking different questions.</w:t>
      </w:r>
    </w:p>
    <w:p>
      <w:pPr>
        <w:spacing w:after="120"/>
        <w:ind w:left="216"/>
        <w:jc w:val="both"/>
      </w:pPr>
      <w:r>
        <w:rPr>
          <w:rFonts w:ascii="Arial" w:cs="Arial" w:eastAsia="Arial" w:hAnsi="Arial"/>
          <w:b/>
          <w:bCs/>
          <w:color w:val="0A1F33"/>
          <w:sz w:val="20"/>
          <w:szCs w:val="20"/>
        </w:rPr>
        <w:t xml:space="preserve">4.  Licence advisory and Fabric migration</w:t>
      </w:r>
      <w:r>
        <w:rPr>
          <w:rFonts w:ascii="Arial" w:cs="Arial" w:eastAsia="Arial" w:hAnsi="Arial"/>
          <w:color w:val="0A1F33"/>
          <w:sz w:val="20"/>
          <w:szCs w:val="20"/>
        </w:rPr>
        <w:t xml:space="preserve">  -  </w:t>
      </w:r>
      <w:r>
        <w:rPr>
          <w:rFonts w:ascii="Arial" w:cs="Arial" w:eastAsia="Arial" w:hAnsi="Arial"/>
          <w:color w:val="0A1F33"/>
          <w:sz w:val="20"/>
          <w:szCs w:val="20"/>
        </w:rPr>
        <w:t xml:space="preserve">Help administering the platform, right-sizing licences and planning a move to Fabric.</w:t>
      </w:r>
    </w:p>
    <w:p>
      <w:pPr>
        <w:spacing w:after="120"/>
      </w:pPr>
    </w:p>
    <w:p>
      <w:pPr>
        <w:pBdr>
          <w:bottom w:val="single" w:color="B8761C" w:sz="12" w:space="0"/>
        </w:pBdr>
        <w:spacing w:after="80" w:before="320"/>
      </w:pPr>
      <w:r>
        <w:rPr>
          <w:rFonts w:ascii="Arial" w:cs="Arial" w:eastAsia="Arial" w:hAnsi="Arial"/>
          <w:b/>
          <w:bCs/>
          <w:color w:val="10538F"/>
          <w:sz w:val="30"/>
          <w:szCs w:val="30"/>
        </w:rPr>
        <w:t xml:space="preserve">10. Why UAE Businesses Choose HLB HAMT</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Eyebrow: </w:t>
      </w:r>
      <w:r>
        <w:rPr>
          <w:rFonts w:ascii="Arial" w:cs="Arial" w:eastAsia="Arial" w:hAnsi="Arial"/>
          <w:color w:val="0A1F33"/>
          <w:sz w:val="20"/>
          <w:szCs w:val="20"/>
        </w:rPr>
        <w:t xml:space="preserve">HLB HAMT Advantage</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H2: </w:t>
      </w:r>
      <w:r>
        <w:rPr>
          <w:rFonts w:ascii="Arial" w:cs="Arial" w:eastAsia="Arial" w:hAnsi="Arial"/>
          <w:color w:val="0A1F33"/>
          <w:sz w:val="20"/>
          <w:szCs w:val="20"/>
        </w:rPr>
        <w:t xml:space="preserve">Why UAE Businesses Choose HLB HAMT for Power BI Services</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Intro: </w:t>
      </w:r>
      <w:r>
        <w:rPr>
          <w:rFonts w:ascii="Arial" w:cs="Arial" w:eastAsia="Arial" w:hAnsi="Arial"/>
          <w:color w:val="0A1F33"/>
          <w:sz w:val="20"/>
          <w:szCs w:val="20"/>
        </w:rPr>
        <w:t xml:space="preserve">Picking a Power BI consulting company is really a decision about whose numbers you will trust in the boardroom.</w:t>
      </w:r>
    </w:p>
    <w:p>
      <w:pPr>
        <w:spacing w:after="120"/>
        <w:jc w:val="both"/>
      </w:pPr>
      <w:r>
        <w:rPr>
          <w:rFonts w:ascii="Arial" w:cs="Arial" w:eastAsia="Arial" w:hAnsi="Arial"/>
          <w:color w:val="0A1F33"/>
          <w:sz w:val="20"/>
          <w:szCs w:val="20"/>
        </w:rPr>
        <w:t xml:space="preserve">Six tiles (heading / copy):</w:t>
      </w:r>
    </w:p>
    <w:p>
      <w:pPr>
        <w:spacing w:after="120"/>
        <w:ind w:left="216"/>
        <w:jc w:val="both"/>
      </w:pPr>
      <w:r>
        <w:rPr>
          <w:rFonts w:ascii="Arial" w:cs="Arial" w:eastAsia="Arial" w:hAnsi="Arial"/>
          <w:b/>
          <w:bCs/>
          <w:color w:val="0A1F33"/>
          <w:sz w:val="20"/>
          <w:szCs w:val="20"/>
        </w:rPr>
        <w:t xml:space="preserve">1.  Microsoft Power BI partner in the UAE</w:t>
      </w:r>
      <w:r>
        <w:rPr>
          <w:rFonts w:ascii="Arial" w:cs="Arial" w:eastAsia="Arial" w:hAnsi="Arial"/>
          <w:color w:val="0A1F33"/>
          <w:sz w:val="20"/>
          <w:szCs w:val="20"/>
        </w:rPr>
        <w:t xml:space="preserve">  -  </w:t>
      </w:r>
      <w:r>
        <w:rPr>
          <w:rFonts w:ascii="Arial" w:cs="Arial" w:eastAsia="Arial" w:hAnsi="Arial"/>
          <w:color w:val="0A1F33"/>
          <w:sz w:val="20"/>
          <w:szCs w:val="20"/>
        </w:rPr>
        <w:t xml:space="preserve">Our own staff handle everything from data engineering to aftercare; nothing is subcontracted.</w:t>
      </w:r>
    </w:p>
    <w:p>
      <w:pPr>
        <w:spacing w:after="120"/>
        <w:ind w:left="216"/>
        <w:jc w:val="both"/>
      </w:pPr>
      <w:r>
        <w:rPr>
          <w:rFonts w:ascii="Arial" w:cs="Arial" w:eastAsia="Arial" w:hAnsi="Arial"/>
          <w:b/>
          <w:bCs/>
          <w:color w:val="0A1F33"/>
          <w:sz w:val="20"/>
          <w:szCs w:val="20"/>
        </w:rPr>
        <w:t xml:space="preserve">2.  Audit-ready financial logic</w:t>
      </w:r>
      <w:r>
        <w:rPr>
          <w:rFonts w:ascii="Arial" w:cs="Arial" w:eastAsia="Arial" w:hAnsi="Arial"/>
          <w:color w:val="0A1F33"/>
          <w:sz w:val="20"/>
          <w:szCs w:val="20"/>
        </w:rPr>
        <w:t xml:space="preserve">  -  </w:t>
      </w:r>
      <w:r>
        <w:rPr>
          <w:rFonts w:ascii="Arial" w:cs="Arial" w:eastAsia="Arial" w:hAnsi="Arial"/>
          <w:color w:val="0A1F33"/>
          <w:sz w:val="20"/>
          <w:szCs w:val="20"/>
        </w:rPr>
        <w:t xml:space="preserve">Corporate Tax, VAT, IFRS and PDPL expertise built into the data model, not bolted on afterwards.</w:t>
      </w:r>
    </w:p>
    <w:p>
      <w:pPr>
        <w:spacing w:after="120"/>
        <w:ind w:left="216"/>
        <w:jc w:val="both"/>
      </w:pPr>
      <w:r>
        <w:rPr>
          <w:rFonts w:ascii="Arial" w:cs="Arial" w:eastAsia="Arial" w:hAnsi="Arial"/>
          <w:b/>
          <w:bCs/>
          <w:color w:val="0A1F33"/>
          <w:sz w:val="20"/>
          <w:szCs w:val="20"/>
        </w:rPr>
        <w:t xml:space="preserve">3.  Low-risk start</w:t>
      </w:r>
      <w:r>
        <w:rPr>
          <w:rFonts w:ascii="Arial" w:cs="Arial" w:eastAsia="Arial" w:hAnsi="Arial"/>
          <w:color w:val="0A1F33"/>
          <w:sz w:val="20"/>
          <w:szCs w:val="20"/>
        </w:rPr>
        <w:t xml:space="preserve">  -  </w:t>
      </w:r>
      <w:r>
        <w:rPr>
          <w:rFonts w:ascii="Arial" w:cs="Arial" w:eastAsia="Arial" w:hAnsi="Arial"/>
          <w:color w:val="0A1F33"/>
          <w:sz w:val="20"/>
          <w:szCs w:val="20"/>
        </w:rPr>
        <w:t xml:space="preserve">Prove the value on your own data, or through the fixed-price PowerUP!, then decide how far to go.</w:t>
      </w:r>
    </w:p>
    <w:p>
      <w:pPr>
        <w:spacing w:after="120"/>
        <w:ind w:left="216"/>
        <w:jc w:val="both"/>
      </w:pPr>
      <w:r>
        <w:rPr>
          <w:rFonts w:ascii="Arial" w:cs="Arial" w:eastAsia="Arial" w:hAnsi="Arial"/>
          <w:b/>
          <w:bCs/>
          <w:color w:val="0A1F33"/>
          <w:sz w:val="20"/>
          <w:szCs w:val="20"/>
        </w:rPr>
        <w:t xml:space="preserve">4.  Dual intelligence</w:t>
      </w:r>
      <w:r>
        <w:rPr>
          <w:rFonts w:ascii="Arial" w:cs="Arial" w:eastAsia="Arial" w:hAnsi="Arial"/>
          <w:color w:val="0A1F33"/>
          <w:sz w:val="20"/>
          <w:szCs w:val="20"/>
        </w:rPr>
        <w:t xml:space="preserve">  -  </w:t>
      </w:r>
      <w:r>
        <w:rPr>
          <w:rFonts w:ascii="Arial" w:cs="Arial" w:eastAsia="Arial" w:hAnsi="Arial"/>
          <w:color w:val="0A1F33"/>
          <w:sz w:val="20"/>
          <w:szCs w:val="20"/>
        </w:rPr>
        <w:t xml:space="preserve">Power BI tracks booked revenue; SugarAI CRM scores the deals still open. We deliver and maintain both.</w:t>
      </w:r>
    </w:p>
    <w:p>
      <w:pPr>
        <w:spacing w:after="120"/>
        <w:ind w:left="216"/>
        <w:jc w:val="both"/>
      </w:pPr>
      <w:r>
        <w:rPr>
          <w:rFonts w:ascii="Arial" w:cs="Arial" w:eastAsia="Arial" w:hAnsi="Arial"/>
          <w:b/>
          <w:bCs/>
          <w:color w:val="0A1F33"/>
          <w:sz w:val="20"/>
          <w:szCs w:val="20"/>
        </w:rPr>
        <w:t xml:space="preserve">5.  Global network</w:t>
      </w:r>
      <w:r>
        <w:rPr>
          <w:rFonts w:ascii="Arial" w:cs="Arial" w:eastAsia="Arial" w:hAnsi="Arial"/>
          <w:color w:val="0A1F33"/>
          <w:sz w:val="20"/>
          <w:szCs w:val="20"/>
        </w:rPr>
        <w:t xml:space="preserve">  -  </w:t>
      </w:r>
      <w:r>
        <w:rPr>
          <w:rFonts w:ascii="Arial" w:cs="Arial" w:eastAsia="Arial" w:hAnsi="Arial"/>
          <w:color w:val="0A1F33"/>
          <w:sz w:val="20"/>
          <w:szCs w:val="20"/>
        </w:rPr>
        <w:t xml:space="preserve">Part of the HLB International network, with access to member firms when your group operates abroad.</w:t>
      </w:r>
    </w:p>
    <w:p>
      <w:pPr>
        <w:spacing w:after="120"/>
        <w:ind w:left="216"/>
        <w:jc w:val="both"/>
      </w:pPr>
      <w:r>
        <w:rPr>
          <w:rFonts w:ascii="Arial" w:cs="Arial" w:eastAsia="Arial" w:hAnsi="Arial"/>
          <w:b/>
          <w:bCs/>
          <w:color w:val="0A1F33"/>
          <w:sz w:val="20"/>
          <w:szCs w:val="20"/>
        </w:rPr>
        <w:t xml:space="preserve">6.  In-region team</w:t>
      </w:r>
      <w:r>
        <w:rPr>
          <w:rFonts w:ascii="Arial" w:cs="Arial" w:eastAsia="Arial" w:hAnsi="Arial"/>
          <w:color w:val="0A1F33"/>
          <w:sz w:val="20"/>
          <w:szCs w:val="20"/>
        </w:rPr>
        <w:t xml:space="preserve">  -  </w:t>
      </w:r>
      <w:r>
        <w:rPr>
          <w:rFonts w:ascii="Arial" w:cs="Arial" w:eastAsia="Arial" w:hAnsi="Arial"/>
          <w:color w:val="0A1F33"/>
          <w:sz w:val="20"/>
          <w:szCs w:val="20"/>
        </w:rPr>
        <w:t xml:space="preserve">Your project team is based in the Emirates and works Gulf business hours, so questions don't wait overnight.</w:t>
      </w:r>
    </w:p>
    <w:p>
      <w:pPr>
        <w:spacing w:after="120"/>
      </w:pPr>
    </w:p>
    <w:p>
      <w:pPr>
        <w:pBdr>
          <w:bottom w:val="single" w:color="B8761C" w:sz="12" w:space="0"/>
        </w:pBdr>
        <w:spacing w:after="80" w:before="320"/>
      </w:pPr>
      <w:r>
        <w:rPr>
          <w:rFonts w:ascii="Arial" w:cs="Arial" w:eastAsia="Arial" w:hAnsi="Arial"/>
          <w:b/>
          <w:bCs/>
          <w:color w:val="10538F"/>
          <w:sz w:val="30"/>
          <w:szCs w:val="30"/>
        </w:rPr>
        <w:t xml:space="preserve">11. See It in Action</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Eyebrow: </w:t>
      </w:r>
      <w:r>
        <w:rPr>
          <w:rFonts w:ascii="Arial" w:cs="Arial" w:eastAsia="Arial" w:hAnsi="Arial"/>
          <w:color w:val="0A1F33"/>
          <w:sz w:val="20"/>
          <w:szCs w:val="20"/>
        </w:rPr>
        <w:t xml:space="preserve">See It in Action</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H2: </w:t>
      </w:r>
      <w:r>
        <w:rPr>
          <w:rFonts w:ascii="Arial" w:cs="Arial" w:eastAsia="Arial" w:hAnsi="Arial"/>
          <w:color w:val="0A1F33"/>
          <w:sz w:val="20"/>
          <w:szCs w:val="20"/>
        </w:rPr>
        <w:t xml:space="preserve">Inside a Live Power BI Dashboard</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Body: </w:t>
      </w:r>
      <w:r>
        <w:rPr>
          <w:rFonts w:ascii="Arial" w:cs="Arial" w:eastAsia="Arial" w:hAnsi="Arial"/>
          <w:color w:val="0A1F33"/>
          <w:sz w:val="20"/>
          <w:szCs w:val="20"/>
        </w:rPr>
        <w:t xml:space="preserve">An example of the executive views we build, in Arabic and English, drilling from the group total down to each entity with every figure reconciling along the way.</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Asset: </w:t>
      </w:r>
      <w:r>
        <w:rPr>
          <w:rFonts w:ascii="Arial" w:cs="Arial" w:eastAsia="Arial" w:hAnsi="Arial"/>
          <w:color w:val="0A1F33"/>
          <w:sz w:val="20"/>
          <w:szCs w:val="20"/>
        </w:rPr>
        <w:t xml:space="preserve">Static dashboard screenshot or GIF to be supplied before go-live</w:t>
      </w:r>
    </w:p>
    <w:p>
      <w:pPr>
        <w:spacing w:after="120"/>
      </w:pPr>
    </w:p>
    <w:p>
      <w:pPr>
        <w:pBdr>
          <w:bottom w:val="single" w:color="B8761C" w:sz="12" w:space="0"/>
        </w:pBdr>
        <w:spacing w:after="80" w:before="320"/>
      </w:pPr>
      <w:r>
        <w:rPr>
          <w:rFonts w:ascii="Arial" w:cs="Arial" w:eastAsia="Arial" w:hAnsi="Arial"/>
          <w:b/>
          <w:bCs/>
          <w:color w:val="10538F"/>
          <w:sz w:val="30"/>
          <w:szCs w:val="30"/>
        </w:rPr>
        <w:t xml:space="preserve">12. FAQ</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Eyebrow: </w:t>
      </w:r>
      <w:r>
        <w:rPr>
          <w:rFonts w:ascii="Arial" w:cs="Arial" w:eastAsia="Arial" w:hAnsi="Arial"/>
          <w:color w:val="0A1F33"/>
          <w:sz w:val="20"/>
          <w:szCs w:val="20"/>
        </w:rPr>
        <w:t xml:space="preserve">Common Questions</w:t>
      </w:r>
    </w:p>
    <w:p>
      <w:pPr>
        <w:spacing w:after="80"/>
        <w:ind w:left="216"/>
        <w:jc w:val="both"/>
      </w:pPr>
      <w:r>
        <w:rPr>
          <w:rFonts w:ascii="Arial" w:cs="Arial" w:eastAsia="Arial" w:hAnsi="Arial"/>
          <w:color w:val="0A1F33"/>
          <w:sz w:val="20"/>
          <w:szCs w:val="20"/>
        </w:rPr>
        <w:t xml:space="preserve">●  </w:t>
      </w:r>
      <w:r>
        <w:rPr>
          <w:rFonts w:ascii="Arial" w:cs="Arial" w:eastAsia="Arial" w:hAnsi="Arial"/>
          <w:b/>
          <w:bCs/>
          <w:color w:val="0A1F33"/>
          <w:sz w:val="20"/>
          <w:szCs w:val="20"/>
        </w:rPr>
        <w:t xml:space="preserve">H2: </w:t>
      </w:r>
      <w:r>
        <w:rPr>
          <w:rFonts w:ascii="Arial" w:cs="Arial" w:eastAsia="Arial" w:hAnsi="Arial"/>
          <w:color w:val="0A1F33"/>
          <w:sz w:val="20"/>
          <w:szCs w:val="20"/>
        </w:rPr>
        <w:t xml:space="preserve">Questions UAE Teams Ask Before Choosing a Power BI Partner</w:t>
      </w:r>
    </w:p>
    <w:p>
      <w:pPr>
        <w:spacing w:after="40" w:before="160"/>
        <w:jc w:val="both"/>
      </w:pPr>
      <w:r>
        <w:rPr>
          <w:rFonts w:ascii="Arial" w:cs="Arial" w:eastAsia="Arial" w:hAnsi="Arial"/>
          <w:b/>
          <w:bCs/>
          <w:color w:val="0A1F33"/>
          <w:sz w:val="20"/>
          <w:szCs w:val="20"/>
        </w:rPr>
        <w:t xml:space="preserve">Q: What is the Power BI service, and how is it different from Power BI Desktop?</w:t>
      </w:r>
    </w:p>
    <w:p>
      <w:pPr>
        <w:spacing w:after="80"/>
        <w:jc w:val="both"/>
      </w:pPr>
      <w:r>
        <w:rPr>
          <w:rFonts w:ascii="Arial" w:cs="Arial" w:eastAsia="Arial" w:hAnsi="Arial"/>
          <w:color w:val="0A1F33"/>
          <w:sz w:val="20"/>
          <w:szCs w:val="20"/>
        </w:rPr>
        <w:t xml:space="preserve">Power BI Desktop is Microsoft's free Windows application for connecting to data, building the semantic model and designing reports. The Power BI service is the browser-based cloud platform where those reports go live: they are shared as apps, refreshed automatically and protected by access rules. Authors tend to work in Desktop, while everyone else reads and interacts with reports online. We set up both, including a workspace structure that keeps the right numbers in front of the right people.</w:t>
      </w:r>
    </w:p>
    <w:p>
      <w:pPr>
        <w:spacing w:after="40" w:before="160"/>
        <w:jc w:val="both"/>
      </w:pPr>
      <w:r>
        <w:rPr>
          <w:rFonts w:ascii="Arial" w:cs="Arial" w:eastAsia="Arial" w:hAnsi="Arial"/>
          <w:b/>
          <w:bCs/>
          <w:color w:val="0A1F33"/>
          <w:sz w:val="20"/>
          <w:szCs w:val="20"/>
        </w:rPr>
        <w:t xml:space="preserve">Q: How is Power BI licensed, and what will it cost?</w:t>
      </w:r>
    </w:p>
    <w:p>
      <w:pPr>
        <w:spacing w:after="80"/>
        <w:jc w:val="both"/>
      </w:pPr>
      <w:r>
        <w:rPr>
          <w:rFonts w:ascii="Arial" w:cs="Arial" w:eastAsia="Arial" w:hAnsi="Arial"/>
          <w:color w:val="0A1F33"/>
          <w:sz w:val="20"/>
          <w:szCs w:val="20"/>
        </w:rPr>
        <w:t xml:space="preserve">At the time of writing, Microsoft lists Power BI Pro at US$14 and Premium Per User at US$24 per user per month, the list prices since 1 April 2025. Per-user licences suit teams where most people both view and share reports. Larger deployments, embedding for external audiences and Copilot run on Fabric capacity, which is priced separately. Our licence advisory works out which mix fits your user base, so you aren't paying for seats or capacity nobody uses.</w:t>
      </w:r>
    </w:p>
    <w:p>
      <w:pPr>
        <w:spacing w:after="40" w:before="160"/>
        <w:jc w:val="both"/>
      </w:pPr>
      <w:r>
        <w:rPr>
          <w:rFonts w:ascii="Arial" w:cs="Arial" w:eastAsia="Arial" w:hAnsi="Arial"/>
          <w:b/>
          <w:bCs/>
          <w:color w:val="0A1F33"/>
          <w:sz w:val="20"/>
          <w:szCs w:val="20"/>
        </w:rPr>
        <w:t xml:space="preserve">Q: Which data sources can Power BI connect to, and do we need a data warehouse first?</w:t>
      </w:r>
    </w:p>
    <w:p>
      <w:pPr>
        <w:spacing w:after="80"/>
        <w:jc w:val="both"/>
      </w:pPr>
      <w:r>
        <w:rPr>
          <w:rFonts w:ascii="Arial" w:cs="Arial" w:eastAsia="Arial" w:hAnsi="Arial"/>
          <w:color w:val="0A1F33"/>
          <w:sz w:val="20"/>
          <w:szCs w:val="20"/>
        </w:rPr>
        <w:t xml:space="preserve">Most business systems are within reach. Microsoft's own connectors, partner-built connectors and custom builds cover sources such as SAP, Oracle, NetSuite, Dynamics 365, Salesforce, SugarCRM, Tally, QuickBooks, SQL Server, Snowflake, Google BigQuery and REST APIs. A warehouse is not always the first step. For a smaller scope with a handful of sources, connecting directly works well. Once data is spread across five or more systems, a lakehouse is usually worth it: every report reconciles to the same cleaned tables.</w:t>
      </w:r>
    </w:p>
    <w:p>
      <w:pPr>
        <w:spacing w:after="40" w:before="160"/>
        <w:jc w:val="both"/>
      </w:pPr>
      <w:r>
        <w:rPr>
          <w:rFonts w:ascii="Arial" w:cs="Arial" w:eastAsia="Arial" w:hAnsi="Arial"/>
          <w:b/>
          <w:bCs/>
          <w:color w:val="0A1F33"/>
          <w:sz w:val="20"/>
          <w:szCs w:val="20"/>
        </w:rPr>
        <w:t xml:space="preserve">Q: Can Power BI replace our manual Excel reports?</w:t>
      </w:r>
    </w:p>
    <w:p>
      <w:pPr>
        <w:spacing w:after="80"/>
        <w:jc w:val="both"/>
      </w:pPr>
      <w:r>
        <w:rPr>
          <w:rFonts w:ascii="Arial" w:cs="Arial" w:eastAsia="Arial" w:hAnsi="Arial"/>
          <w:color w:val="0A1F33"/>
          <w:sz w:val="20"/>
          <w:szCs w:val="20"/>
        </w:rPr>
        <w:t xml:space="preserve">Yes, and it is often the first job we take on. Instead of someone rebuilding spreadsheets every Monday, data refreshes on a schedule and dashboards always show current figures. Power Automate can email whoever owns a figure the moment it moves outside its agreed range. For clients in the Emirates, that Monday routine used to cost hours; now it largely runs itself. Excel stays available for anyone who still prefers to analyse there.</w:t>
      </w:r>
    </w:p>
    <w:p>
      <w:pPr>
        <w:spacing w:after="40" w:before="160"/>
        <w:jc w:val="both"/>
      </w:pPr>
      <w:r>
        <w:rPr>
          <w:rFonts w:ascii="Arial" w:cs="Arial" w:eastAsia="Arial" w:hAnsi="Arial"/>
          <w:b/>
          <w:bCs/>
          <w:color w:val="0A1F33"/>
          <w:sz w:val="20"/>
          <w:szCs w:val="20"/>
        </w:rPr>
        <w:t xml:space="preserve">Q: Do you build Arabic and right-to-left dashboards?</w:t>
      </w:r>
    </w:p>
    <w:p>
      <w:pPr>
        <w:spacing w:after="80"/>
        <w:jc w:val="both"/>
      </w:pPr>
      <w:r>
        <w:rPr>
          <w:rFonts w:ascii="Arial" w:cs="Arial" w:eastAsia="Arial" w:hAnsi="Arial"/>
          <w:color w:val="0A1F33"/>
          <w:sz w:val="20"/>
          <w:szCs w:val="20"/>
        </w:rPr>
        <w:t xml:space="preserve">Yes. We plan right-to-left layouts before the first visual is placed, instead of mirroring an English report at the end. Labels, filters, slicers and KPI descriptions appear in Arabic, and page layouts, visual order and navigation read right to left. The same approach works for other right-to-left languages such as Urdu and Persian. Where you need Arabic and English versions of the same report, both sit on one model and the numbers always match.</w:t>
      </w:r>
    </w:p>
    <w:p>
      <w:pPr>
        <w:spacing w:after="40" w:before="160"/>
        <w:jc w:val="both"/>
      </w:pPr>
      <w:r>
        <w:rPr>
          <w:rFonts w:ascii="Arial" w:cs="Arial" w:eastAsia="Arial" w:hAnsi="Arial"/>
          <w:b/>
          <w:bCs/>
          <w:color w:val="0A1F33"/>
          <w:sz w:val="20"/>
          <w:szCs w:val="20"/>
        </w:rPr>
        <w:t xml:space="preserve">Q: Is our data secure, and can it stay in the UAE?</w:t>
      </w:r>
    </w:p>
    <w:p>
      <w:pPr>
        <w:spacing w:after="80"/>
        <w:jc w:val="both"/>
      </w:pPr>
      <w:r>
        <w:rPr>
          <w:rFonts w:ascii="Arial" w:cs="Arial" w:eastAsia="Arial" w:hAnsi="Arial"/>
          <w:color w:val="0A1F33"/>
          <w:sz w:val="20"/>
          <w:szCs w:val="20"/>
        </w:rPr>
        <w:t xml:space="preserve">Yes. Row-level security limits each user to the rows they are entitled to see, data is encrypted, and the platform sits within the scope of Microsoft's ISO/IEC 27001 certification and SOC 2 reports. Your data can be hosted in Microsoft's Dubai or Abu Dhabi cloud regions, and our data protection advisory team helps set each environment up in line with PDPL, DIFC and ADGM requirements. Outside the US and EU data boundaries, Copilot is off by default unless an admin allows cross-region processing. We make that call with you.</w:t>
      </w:r>
    </w:p>
    <w:p>
      <w:pPr>
        <w:spacing w:after="40" w:before="160"/>
        <w:jc w:val="both"/>
      </w:pPr>
      <w:r>
        <w:rPr>
          <w:rFonts w:ascii="Arial" w:cs="Arial" w:eastAsia="Arial" w:hAnsi="Arial"/>
          <w:b/>
          <w:bCs/>
          <w:color w:val="0A1F33"/>
          <w:sz w:val="20"/>
          <w:szCs w:val="20"/>
        </w:rPr>
        <w:t xml:space="preserve">Q: What is Microsoft Fabric, and should we plan for it?</w:t>
      </w:r>
    </w:p>
    <w:p>
      <w:pPr>
        <w:spacing w:after="80"/>
        <w:jc w:val="both"/>
      </w:pPr>
      <w:r>
        <w:rPr>
          <w:rFonts w:ascii="Arial" w:cs="Arial" w:eastAsia="Arial" w:hAnsi="Arial"/>
          <w:color w:val="0A1F33"/>
          <w:sz w:val="20"/>
          <w:szCs w:val="20"/>
        </w:rPr>
        <w:t xml:space="preserve">Fabric is the larger Microsoft service that Power BI now belongs to. Its other workloads (real-time analytics, data engineering and warehousing) share one pool of capacity. Fabric pays off when reporting depends on several large or fast-moving sources, when engineers and analysts should query a single copy of the data, or when your per-user licence costs are climbing. For a single team reporting from a couple of systems, it can wait. Our readiness assessment tells you which situation you are in and plans any migration in stages.</w:t>
      </w:r>
    </w:p>
    <w:p>
      <w:pPr>
        <w:spacing w:after="40" w:before="160"/>
        <w:jc w:val="both"/>
      </w:pPr>
      <w:r>
        <w:rPr>
          <w:rFonts w:ascii="Arial" w:cs="Arial" w:eastAsia="Arial" w:hAnsi="Arial"/>
          <w:b/>
          <w:bCs/>
          <w:color w:val="0A1F33"/>
          <w:sz w:val="20"/>
          <w:szCs w:val="20"/>
        </w:rPr>
        <w:t xml:space="preserve">Q: What do we need to use Copilot in Power BI?</w:t>
      </w:r>
    </w:p>
    <w:p>
      <w:pPr>
        <w:spacing w:after="80"/>
        <w:jc w:val="both"/>
      </w:pPr>
      <w:r>
        <w:rPr>
          <w:rFonts w:ascii="Arial" w:cs="Arial" w:eastAsia="Arial" w:hAnsi="Arial"/>
          <w:color w:val="0A1F33"/>
          <w:sz w:val="20"/>
          <w:szCs w:val="20"/>
        </w:rPr>
        <w:t xml:space="preserve">Three things. First, paid capacity: Fabric F2 or higher, or Premium P1 or higher, because Pro or Premium Per User licences alone do not include it. Second, an administrator has to enable Copilot in the tenant settings. Third, a well-prepared semantic model, with clear table names, descriptions and tested measures; that groundwork makes Copilot's answers reliable. Microsoft officially supports English prompts only at present, so we design Arabic into the reports themselves rather than into the questions.</w:t>
      </w:r>
    </w:p>
    <w:p>
      <w:pPr>
        <w:spacing w:after="40" w:before="160"/>
        <w:jc w:val="both"/>
      </w:pPr>
      <w:r>
        <w:rPr>
          <w:rFonts w:ascii="Arial" w:cs="Arial" w:eastAsia="Arial" w:hAnsi="Arial"/>
          <w:b/>
          <w:bCs/>
          <w:color w:val="0A1F33"/>
          <w:sz w:val="20"/>
          <w:szCs w:val="20"/>
        </w:rPr>
        <w:t xml:space="preserve">Q: How long does a Power BI implementation take?</w:t>
      </w:r>
    </w:p>
    <w:p>
      <w:pPr>
        <w:spacing w:after="80"/>
        <w:jc w:val="both"/>
      </w:pPr>
      <w:r>
        <w:rPr>
          <w:rFonts w:ascii="Arial" w:cs="Arial" w:eastAsia="Arial" w:hAnsi="Arial"/>
          <w:color w:val="0A1F33"/>
          <w:sz w:val="20"/>
          <w:szCs w:val="20"/>
        </w:rPr>
        <w:t xml:space="preserve">It depends on scope. A single-department rollout usually takes two to four weeks. A multi-department programme runs six to ten weeks, and an enterprise build with a data lakehouse takes three to six months. Whatever the size, a working prototype arrives within two weeks, early enough for your feedback to shape the build. Timelines are confirmed once discovery has shown the state of your data and the number of sources involved.</w:t>
      </w:r>
    </w:p>
    <w:sectPr>
      <w:pgSz w:w="12240" w:h="15840" w:orient="portrait"/>
      <w:pgMar w:top="1008" w:right="1152" w:bottom="1008"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2026-09-29T04:53:35.545Z</dcterms:created>
  <dcterms:modified xsi:type="dcterms:W3CDTF">2026-09-29T04:53:35.545Z</dcterms:modified>
</cp:coreProperties>
</file>

<file path=docProps/custom.xml><?xml version="1.0" encoding="utf-8"?>
<Properties xmlns="http://schemas.openxmlformats.org/officeDocument/2006/custom-properties" xmlns:vt="http://schemas.openxmlformats.org/officeDocument/2006/docPropsVTypes"/>
</file>