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CSE 321 Operating Systems</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Lab Assignment 3</w:t>
      </w:r>
    </w:p>
    <w:p w:rsidR="00000000" w:rsidDel="00000000" w:rsidP="00000000" w:rsidRDefault="00000000" w:rsidRPr="00000000" w14:paraId="00000003">
      <w:pPr>
        <w:pStyle w:val="Heading1"/>
        <w:spacing w:after="0" w:before="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Marks: 30</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color="000000" w:space="0" w:sz="0" w:val="none"/>
          <w:bottom w:color="000000" w:space="12"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Given the list of processes, their CPU burst times, arrival times and priorities implement SJF, Priority and Round Robin scheduling algorithms on the processes with preemption. For each of the scheduling policies, compute and print the completion Time(CT), Turnaround Time(TAT), and Waiting Time(WT) for each process using </w:t>
      </w:r>
      <w:r w:rsidDel="00000000" w:rsidR="00000000" w:rsidRPr="00000000">
        <w:rPr>
          <w:rFonts w:ascii="Times New Roman" w:cs="Times New Roman" w:eastAsia="Times New Roman" w:hAnsi="Times New Roman"/>
          <w:b w:val="1"/>
          <w:sz w:val="24"/>
          <w:szCs w:val="24"/>
          <w:rtl w:val="0"/>
        </w:rPr>
        <w:t xml:space="preserve">C Programming.</w:t>
      </w:r>
    </w:p>
    <w:p w:rsidR="00000000" w:rsidDel="00000000" w:rsidP="00000000" w:rsidRDefault="00000000" w:rsidRPr="00000000" w14:paraId="00000007">
      <w:pPr>
        <w:pBdr>
          <w:top w:color="000000" w:space="0" w:sz="0" w:val="none"/>
          <w:bottom w:color="000000" w:space="12"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Waiting time:</w:t>
      </w:r>
      <w:r w:rsidDel="00000000" w:rsidR="00000000" w:rsidRPr="00000000">
        <w:rPr>
          <w:rFonts w:ascii="Times New Roman" w:cs="Times New Roman" w:eastAsia="Times New Roman" w:hAnsi="Times New Roman"/>
          <w:sz w:val="24"/>
          <w:szCs w:val="24"/>
          <w:rtl w:val="0"/>
        </w:rPr>
        <w:t xml:space="preserve"> Processes need to wait in the process queue before execution starts and in execution while they get preempted.</w:t>
      </w:r>
    </w:p>
    <w:p w:rsidR="00000000" w:rsidDel="00000000" w:rsidP="00000000" w:rsidRDefault="00000000" w:rsidRPr="00000000" w14:paraId="00000008">
      <w:pPr>
        <w:pBdr>
          <w:top w:color="000000" w:space="12" w:sz="0" w:val="none"/>
          <w:bottom w:color="000000" w:space="12" w:sz="0" w:val="none"/>
          <w:between w:color="000000" w:space="12"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Turnaround time:</w:t>
      </w:r>
      <w:r w:rsidDel="00000000" w:rsidR="00000000" w:rsidRPr="00000000">
        <w:rPr>
          <w:rFonts w:ascii="Times New Roman" w:cs="Times New Roman" w:eastAsia="Times New Roman" w:hAnsi="Times New Roman"/>
          <w:sz w:val="24"/>
          <w:szCs w:val="24"/>
          <w:rtl w:val="0"/>
        </w:rPr>
        <w:t xml:space="preserve"> Time elapsed by each process to get completely served. (Difference between submission time and completion time).                                </w:t>
      </w:r>
    </w:p>
    <w:p w:rsidR="00000000" w:rsidDel="00000000" w:rsidP="00000000" w:rsidRDefault="00000000" w:rsidRPr="00000000" w14:paraId="00000009">
      <w:pPr>
        <w:pBdr>
          <w:top w:color="000000" w:space="0" w:sz="0" w:val="none"/>
          <w:bottom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color="000000" w:space="0" w:sz="0" w:val="none"/>
          <w:bottom w:color="000000" w:space="0" w:sz="0" w:val="none"/>
          <w:between w:color="000000" w:space="0" w:sz="0" w:val="none"/>
        </w:pBdr>
        <w:rPr>
          <w:rFonts w:ascii="Times New Roman" w:cs="Times New Roman" w:eastAsia="Times New Roman" w:hAnsi="Times New Roman"/>
          <w:b w:val="1"/>
          <w:color w:val="4c1130"/>
          <w:sz w:val="30"/>
          <w:szCs w:val="30"/>
        </w:rPr>
      </w:pPr>
      <w:r w:rsidDel="00000000" w:rsidR="00000000" w:rsidRPr="00000000">
        <w:rPr>
          <w:rFonts w:ascii="Times New Roman" w:cs="Times New Roman" w:eastAsia="Times New Roman" w:hAnsi="Times New Roman"/>
          <w:b w:val="1"/>
          <w:sz w:val="30"/>
          <w:szCs w:val="30"/>
          <w:rtl w:val="0"/>
        </w:rPr>
        <w:t xml:space="preserve">Task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c1130"/>
          <w:sz w:val="30"/>
          <w:szCs w:val="30"/>
          <w:rtl w:val="0"/>
        </w:rPr>
        <w:t xml:space="preserve">SJF Scheduling with preemption</w:t>
      </w:r>
    </w:p>
    <w:p w:rsidR="00000000" w:rsidDel="00000000" w:rsidP="00000000" w:rsidRDefault="00000000" w:rsidRPr="00000000" w14:paraId="0000000B">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can use the following input as sample:</w:t>
      </w:r>
    </w:p>
    <w:p w:rsidR="00000000" w:rsidDel="00000000" w:rsidP="00000000" w:rsidRDefault="00000000" w:rsidRPr="00000000" w14:paraId="0000000C">
      <w:pPr>
        <w:pBdr>
          <w:top w:color="000000" w:space="0" w:sz="0" w:val="none"/>
          <w:bottom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Burst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3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bl>
    <w:p w:rsidR="00000000" w:rsidDel="00000000" w:rsidP="00000000" w:rsidRDefault="00000000" w:rsidRPr="00000000" w14:paraId="00000020">
      <w:pPr>
        <w:pBdr>
          <w:top w:color="000000" w:space="0" w:sz="0" w:val="none"/>
          <w:bottom w:color="000000" w:space="0" w:sz="0" w:val="none"/>
          <w:between w:color="000000" w:space="0" w:sz="0" w:val="none"/>
        </w:pBd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pBdr>
          <w:top w:color="000000" w:space="0" w:sz="0" w:val="none"/>
          <w:bottom w:color="000000" w:space="0" w:sz="0" w:val="none"/>
          <w:between w:color="000000"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pBdr>
          <w:top w:color="000000" w:space="0" w:sz="0" w:val="none"/>
          <w:bottom w:color="000000" w:space="0" w:sz="0" w:val="none"/>
          <w:between w:color="000000"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in a Gantt chart:</w:t>
        <w:br w:type="textWrapping"/>
      </w:r>
    </w:p>
    <w:p w:rsidR="00000000" w:rsidDel="00000000" w:rsidP="00000000" w:rsidRDefault="00000000" w:rsidRPr="00000000" w14:paraId="00000024">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tbl>
      <w:tblPr>
        <w:tblStyle w:val="Table2"/>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275"/>
        <w:tblGridChange w:id="0">
          <w:tblGrid>
            <w:gridCol w:w="1320"/>
            <w:gridCol w:w="1320"/>
            <w:gridCol w:w="1320"/>
            <w:gridCol w:w="1320"/>
            <w:gridCol w:w="1320"/>
            <w:gridCol w:w="1320"/>
            <w:gridCol w:w="1275"/>
          </w:tblGrid>
        </w:tblGridChange>
      </w:tblGrid>
      <w:tr>
        <w:trPr>
          <w:cantSplit w:val="0"/>
          <w:trHeight w:val="53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P3</w:t>
            </w:r>
          </w:p>
        </w:tc>
      </w:tr>
    </w:tbl>
    <w:p w:rsidR="00000000" w:rsidDel="00000000" w:rsidP="00000000" w:rsidRDefault="00000000" w:rsidRPr="00000000" w14:paraId="0000002C">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0                  2                  3                  4                  7                   11                16               23</w:t>
      </w:r>
    </w:p>
    <w:p w:rsidR="00000000" w:rsidDel="00000000" w:rsidP="00000000" w:rsidRDefault="00000000" w:rsidRPr="00000000" w14:paraId="0000002D">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pBdr>
          <w:top w:color="000000" w:space="0" w:sz="0" w:val="none"/>
          <w:bottom w:color="000000" w:space="0" w:sz="0" w:val="none"/>
          <w:between w:color="000000" w:space="0" w:sz="0" w:val="none"/>
        </w:pBdr>
        <w:rPr>
          <w:rFonts w:ascii="Times New Roman" w:cs="Times New Roman" w:eastAsia="Times New Roman" w:hAnsi="Times New Roman"/>
          <w:b w:val="1"/>
          <w:color w:val="4c1130"/>
          <w:sz w:val="30"/>
          <w:szCs w:val="30"/>
        </w:rPr>
      </w:pPr>
      <w:r w:rsidDel="00000000" w:rsidR="00000000" w:rsidRPr="00000000">
        <w:rPr>
          <w:rFonts w:ascii="Times New Roman" w:cs="Times New Roman" w:eastAsia="Times New Roman" w:hAnsi="Times New Roman"/>
          <w:b w:val="1"/>
          <w:sz w:val="30"/>
          <w:szCs w:val="30"/>
          <w:rtl w:val="0"/>
        </w:rPr>
        <w:t xml:space="preserve">Task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c1130"/>
          <w:sz w:val="30"/>
          <w:szCs w:val="30"/>
          <w:rtl w:val="0"/>
        </w:rPr>
        <w:t xml:space="preserve">Round Robin </w:t>
      </w:r>
    </w:p>
    <w:p w:rsidR="00000000" w:rsidDel="00000000" w:rsidP="00000000" w:rsidRDefault="00000000" w:rsidRPr="00000000" w14:paraId="00000031">
      <w:pPr>
        <w:pBdr>
          <w:top w:color="000000" w:space="0" w:sz="0" w:val="none"/>
          <w:bottom w:color="000000" w:space="0" w:sz="0" w:val="none"/>
          <w:between w:color="000000" w:space="0" w:sz="0" w:val="none"/>
        </w:pBdr>
        <w:rPr>
          <w:rFonts w:ascii="Times New Roman" w:cs="Times New Roman" w:eastAsia="Times New Roman" w:hAnsi="Times New Roman"/>
          <w:b w:val="1"/>
          <w:color w:val="4c1130"/>
          <w:sz w:val="30"/>
          <w:szCs w:val="30"/>
        </w:rPr>
      </w:pPr>
      <w:r w:rsidDel="00000000" w:rsidR="00000000" w:rsidRPr="00000000">
        <w:rPr>
          <w:rtl w:val="0"/>
        </w:rPr>
      </w:r>
    </w:p>
    <w:p w:rsidR="00000000" w:rsidDel="00000000" w:rsidP="00000000" w:rsidRDefault="00000000" w:rsidRPr="00000000" w14:paraId="00000032">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can use the following input as sample:</w:t>
      </w:r>
    </w:p>
    <w:p w:rsidR="00000000" w:rsidDel="00000000" w:rsidP="00000000" w:rsidRDefault="00000000" w:rsidRPr="00000000" w14:paraId="00000033">
      <w:pPr>
        <w:pBdr>
          <w:top w:color="000000" w:space="0" w:sz="0" w:val="none"/>
          <w:bottom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Time Quantum = 20 ms</w:t>
      </w:r>
      <w:r w:rsidDel="00000000" w:rsidR="00000000" w:rsidRPr="00000000">
        <w:rPr>
          <w:rtl w:val="0"/>
        </w:rPr>
      </w:r>
    </w:p>
    <w:p w:rsidR="00000000" w:rsidDel="00000000" w:rsidP="00000000" w:rsidRDefault="00000000" w:rsidRPr="00000000" w14:paraId="00000034">
      <w:pPr>
        <w:pBdr>
          <w:top w:color="000000" w:space="0" w:sz="0" w:val="none"/>
          <w:bottom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Burst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r>
    </w:tbl>
    <w:p w:rsidR="00000000" w:rsidDel="00000000" w:rsidP="00000000" w:rsidRDefault="00000000" w:rsidRPr="00000000" w14:paraId="0000003F">
      <w:pPr>
        <w:pBdr>
          <w:top w:color="000000" w:space="0" w:sz="0" w:val="none"/>
          <w:bottom w:color="000000" w:space="0" w:sz="0" w:val="none"/>
          <w:between w:color="000000" w:space="0" w:sz="0" w:val="none"/>
        </w:pBd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between w:color="000000"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between w:color="000000"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in a Gantt chart:</w:t>
      </w:r>
    </w:p>
    <w:p w:rsidR="00000000" w:rsidDel="00000000" w:rsidP="00000000" w:rsidRDefault="00000000" w:rsidRPr="00000000" w14:paraId="00000043">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rtl w:val="0"/>
        </w:rPr>
      </w:r>
    </w:p>
    <w:tbl>
      <w:tblPr>
        <w:tblStyle w:val="Table4"/>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P3</w:t>
            </w:r>
          </w:p>
        </w:tc>
      </w:tr>
    </w:tbl>
    <w:p w:rsidR="00000000" w:rsidDel="00000000" w:rsidP="00000000" w:rsidRDefault="00000000" w:rsidRPr="00000000" w14:paraId="00000050">
      <w:pPr>
        <w:rPr>
          <w:b w:val="1"/>
        </w:rPr>
      </w:pPr>
      <w:r w:rsidDel="00000000" w:rsidR="00000000" w:rsidRPr="00000000">
        <w:rPr>
          <w:b w:val="1"/>
          <w:rtl w:val="0"/>
        </w:rPr>
        <w:t xml:space="preserve">0           20          37            57           77           97        117          121        134          154        162</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pBdr>
          <w:top w:color="000000" w:space="0" w:sz="0" w:val="none"/>
          <w:bottom w:color="000000" w:space="0" w:sz="0" w:val="none"/>
          <w:between w:color="000000" w:space="0" w:sz="0" w:val="none"/>
        </w:pBdr>
        <w:rPr>
          <w:rFonts w:ascii="Times New Roman" w:cs="Times New Roman" w:eastAsia="Times New Roman" w:hAnsi="Times New Roman"/>
          <w:b w:val="1"/>
          <w:color w:val="4c1130"/>
          <w:sz w:val="30"/>
          <w:szCs w:val="30"/>
        </w:rPr>
      </w:pPr>
      <w:r w:rsidDel="00000000" w:rsidR="00000000" w:rsidRPr="00000000">
        <w:rPr>
          <w:rFonts w:ascii="Times New Roman" w:cs="Times New Roman" w:eastAsia="Times New Roman" w:hAnsi="Times New Roman"/>
          <w:b w:val="1"/>
          <w:sz w:val="30"/>
          <w:szCs w:val="30"/>
          <w:rtl w:val="0"/>
        </w:rPr>
        <w:t xml:space="preserve">Task 3: </w:t>
      </w:r>
      <w:r w:rsidDel="00000000" w:rsidR="00000000" w:rsidRPr="00000000">
        <w:rPr>
          <w:rFonts w:ascii="Times New Roman" w:cs="Times New Roman" w:eastAsia="Times New Roman" w:hAnsi="Times New Roman"/>
          <w:b w:val="1"/>
          <w:color w:val="4c1130"/>
          <w:sz w:val="30"/>
          <w:szCs w:val="30"/>
          <w:rtl w:val="0"/>
        </w:rPr>
        <w:t xml:space="preserve">Priority Scheduling</w:t>
      </w:r>
    </w:p>
    <w:p w:rsidR="00000000" w:rsidDel="00000000" w:rsidP="00000000" w:rsidRDefault="00000000" w:rsidRPr="00000000" w14:paraId="00000055">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can use the following input as sample:</w:t>
      </w:r>
    </w:p>
    <w:p w:rsidR="00000000" w:rsidDel="00000000" w:rsidP="00000000" w:rsidRDefault="00000000" w:rsidRPr="00000000" w14:paraId="00000056">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Burst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bl>
    <w:p w:rsidR="00000000" w:rsidDel="00000000" w:rsidP="00000000" w:rsidRDefault="00000000" w:rsidRPr="00000000" w14:paraId="0000006F">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in a Gantt chart:</w:t>
      </w:r>
    </w:p>
    <w:p w:rsidR="00000000" w:rsidDel="00000000" w:rsidP="00000000" w:rsidRDefault="00000000" w:rsidRPr="00000000" w14:paraId="00000072">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P2</w:t>
            </w:r>
          </w:p>
        </w:tc>
      </w:tr>
    </w:tbl>
    <w:p w:rsidR="00000000" w:rsidDel="00000000" w:rsidP="00000000" w:rsidRDefault="00000000" w:rsidRPr="00000000" w14:paraId="0000007A">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0                     3                    13                     29                   41                     63                 68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lVarzDxCegZD6ORBtVVXj+dr1Q==">AMUW2mXfx+TZTPb411ZSDnLroBKuRMEnfpSfsqkSnOP/dxsmyI4jrgl3OPteGrnubTPyey2bgxAzOquJk3U5M/HuyKakTYD/FzIxzdqB742GmCwLIXr4Kb0=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