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80"/>
        <w:jc w:val="center"/>
      </w:pPr>
      <w:r>
        <w:rPr>
          <w:rFonts w:ascii="Arial" w:cs="Arial" w:eastAsia="Arial" w:hAnsi="Arial"/>
          <w:color w:val="595959"/>
          <w:sz w:val="24"/>
          <w:szCs w:val="24"/>
        </w:rPr>
        <w:t xml:space="preserve">PESIT – PES University</w:t>
      </w:r>
    </w:p>
    <w:p>
      <w:pPr>
        <w:spacing w:after="400"/>
        <w:jc w:val="center"/>
      </w:pPr>
      <w:r>
        <w:rPr>
          <w:rFonts w:ascii="Arial" w:cs="Arial" w:eastAsia="Arial" w:hAnsi="Arial"/>
          <w:color w:val="595959"/>
          <w:sz w:val="22"/>
          <w:szCs w:val="22"/>
        </w:rPr>
        <w:t xml:space="preserve">Department of Computer Science &amp; Engineering</w:t>
      </w:r>
    </w:p>
    <w:p>
      <w:pPr>
        <w:spacing w:after="120"/>
        <w:jc w:val="center"/>
      </w:pPr>
      <w:r>
        <w:rPr>
          <w:rFonts w:ascii="Arial" w:cs="Arial" w:eastAsia="Arial" w:hAnsi="Arial"/>
          <w:b/>
          <w:bCs/>
          <w:color w:val="1F3A6E"/>
          <w:sz w:val="40"/>
          <w:szCs w:val="40"/>
        </w:rPr>
        <w:t xml:space="preserve">Supply Chain Management for Engineers</w:t>
      </w:r>
    </w:p>
    <w:p>
      <w:pPr>
        <w:spacing w:after="600"/>
        <w:jc w:val="center"/>
      </w:pPr>
      <w:r>
        <w:rPr>
          <w:rFonts w:ascii="Arial" w:cs="Arial" w:eastAsia="Arial" w:hAnsi="Arial"/>
          <w:color w:val="2E75B6"/>
          <w:sz w:val="24"/>
          <w:szCs w:val="24"/>
        </w:rPr>
        <w:t xml:space="preserve">UE23CS342BA1  |  Jan – May 2026</w:t>
      </w:r>
    </w:p>
    <w:p>
      <w:pPr>
        <w:pBdr>
          <w:top w:val="single" w:color="2E75B6" w:sz="6" w:space="4"/>
          <w:bottom w:val="single" w:color="2E75B6" w:sz="6" w:space="4"/>
        </w:pBdr>
        <w:spacing w:after="120" w:before="120"/>
        <w:jc w:val="center"/>
      </w:pPr>
      <w:r>
        <w:rPr>
          <w:rFonts w:ascii="Arial" w:cs="Arial" w:eastAsia="Arial" w:hAnsi="Arial"/>
          <w:b/>
          <w:bCs/>
          <w:color w:val="0D6E6E"/>
          <w:sz w:val="36"/>
          <w:szCs w:val="36"/>
        </w:rPr>
        <w:t xml:space="preserve">P3 – Forecasting Accuracy</w:t>
      </w:r>
    </w:p>
    <w:p>
      <w:pPr>
        <w:spacing w:before="400"/>
      </w:pPr>
      <w:r>
        <w:t xml:space="preserve"/>
      </w:r>
    </w:p>
    <w:p>
      <w:pPr>
        <w:spacing w:after="600"/>
        <w:jc w:val="center"/>
      </w:pPr>
      <w:r>
        <w:rPr>
          <w:rFonts w:ascii="Arial" w:cs="Arial" w:eastAsia="Arial" w:hAnsi="Arial"/>
          <w:b/>
          <w:bCs/>
          <w:color w:val="1F3A6E"/>
          <w:sz w:val="28"/>
          <w:szCs w:val="28"/>
        </w:rPr>
        <w:t xml:space="preserve">NexaChain Electronics SCM Intelligence Dashboard</w:t>
      </w:r>
    </w:p>
    <w:p>
      <w:pPr>
        <w:spacing w:before="400"/>
      </w:pPr>
      <w:r>
        <w:t xml:space="preserve"/>
      </w:r>
    </w:p>
    <w:p>
      <w:pPr>
        <w:spacing w:after="120"/>
        <w:jc w:val="center"/>
      </w:pPr>
      <w:r>
        <w:rPr>
          <w:rFonts w:ascii="Arial" w:cs="Arial" w:eastAsia="Arial" w:hAnsi="Arial"/>
          <w:b/>
          <w:bCs/>
          <w:color w:val="595959"/>
          <w:sz w:val="24"/>
          <w:szCs w:val="24"/>
        </w:rPr>
        <w:t xml:space="preserve">Team Members</w:t>
      </w:r>
    </w:p>
    <w:p>
      <w:pPr>
        <w:spacing w:after="80"/>
        <w:jc w:val="center"/>
      </w:pPr>
      <w:r>
        <w:rPr>
          <w:rFonts w:ascii="Arial" w:cs="Arial" w:eastAsia="Arial" w:hAnsi="Arial"/>
          <w:color w:val="595959"/>
          <w:sz w:val="22"/>
          <w:szCs w:val="22"/>
        </w:rPr>
        <w:t xml:space="preserve">PES1UG23CS531  |  PES1UG23CS___  |  PES1UG23CS___</w:t>
      </w:r>
    </w:p>
    <w:p>
      <w:pPr>
        <w:spacing w:before="400"/>
      </w:pPr>
      <w:r>
        <w:t xml:space="preserve"/>
      </w:r>
    </w:p>
    <w:p>
      <w:pPr>
        <w:spacing w:after="80"/>
        <w:jc w:val="center"/>
      </w:pPr>
      <w:r>
        <w:rPr>
          <w:rFonts w:ascii="Arial" w:cs="Arial" w:eastAsia="Arial" w:hAnsi="Arial"/>
          <w:color w:val="595959"/>
          <w:sz w:val="22"/>
          <w:szCs w:val="22"/>
        </w:rPr>
        <w:t xml:space="preserve">Submitted to: Prof. Raghu B. A. Rao</w:t>
      </w:r>
    </w:p>
    <w:p>
      <w:pPr>
        <w:spacing w:after="80"/>
        <w:jc w:val="center"/>
      </w:pPr>
      <w:r>
        <w:rPr>
          <w:rFonts w:ascii="Arial" w:cs="Arial" w:eastAsia="Arial" w:hAnsi="Arial"/>
          <w:color w:val="595959"/>
          <w:sz w:val="22"/>
          <w:szCs w:val="22"/>
        </w:rPr>
        <w:t xml:space="preserve">Submission Date: 20 April 2026</w:t>
      </w:r>
    </w:p>
    <w:p>
      <w:pPr>
        <w:spacing w:after="0"/>
      </w:pPr>
      <w:r>
        <w:br w:type="page"/>
      </w:r>
    </w:p>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after="160" w:before="360"/>
      </w:pPr>
      <w:r>
        <w:rPr>
          <w:rFonts w:ascii="Arial" w:cs="Arial" w:eastAsia="Arial" w:hAnsi="Arial"/>
          <w:b/>
          <w:bCs/>
          <w:color w:val="1F3A6E"/>
          <w:sz w:val="32"/>
          <w:szCs w:val="32"/>
        </w:rPr>
        <w:t xml:space="preserve">1. Problem Statement Analysis</w:t>
      </w:r>
    </w:p>
    <w:p>
      <w:pPr>
        <w:pStyle w:val="Heading2"/>
        <w:spacing w:after="120" w:before="240"/>
      </w:pPr>
      <w:r>
        <w:rPr>
          <w:rFonts w:ascii="Arial" w:cs="Arial" w:eastAsia="Arial" w:hAnsi="Arial"/>
          <w:b/>
          <w:bCs/>
          <w:color w:val="2E75B6"/>
          <w:sz w:val="26"/>
          <w:szCs w:val="26"/>
        </w:rPr>
        <w:t xml:space="preserve">1.1 Problem Statement: P3 – Forecasting Accuracy</w:t>
      </w:r>
    </w:p>
    <w:p>
      <w:pPr>
        <w:spacing w:after="120"/>
        <w:jc w:val="both"/>
      </w:pPr>
      <w:r>
        <w:rPr>
          <w:rFonts w:ascii="Arial" w:cs="Arial" w:eastAsia="Arial" w:hAnsi="Arial"/>
          <w:color w:val="2C2C2C"/>
          <w:sz w:val="22"/>
          <w:szCs w:val="22"/>
        </w:rPr>
        <w:t xml:space="preserve">Inaccurate manual forecasts lead to inefficient allocation of resources, negatively affecting customer satisfaction. Supply chain managers at electronics manufacturers struggle to predict demand for products that exhibit strong seasonal patterns (festival peaks), rapid growth trajectories, and regional variation. This results in inventory imbalances – either costly overstocking or stockouts that result in lost revenue.</w:t>
      </w:r>
    </w:p>
    <w:p>
      <w:pPr>
        <w:pStyle w:val="Heading2"/>
        <w:spacing w:after="120" w:before="240"/>
      </w:pPr>
      <w:r>
        <w:rPr>
          <w:rFonts w:ascii="Arial" w:cs="Arial" w:eastAsia="Arial" w:hAnsi="Arial"/>
          <w:b/>
          <w:bCs/>
          <w:color w:val="2E75B6"/>
          <w:sz w:val="26"/>
          <w:szCs w:val="26"/>
        </w:rPr>
        <w:t xml:space="preserve">1.2 Scope of the Problem</w:t>
      </w:r>
    </w:p>
    <w:p>
      <w:pPr>
        <w:spacing w:after="120"/>
        <w:jc w:val="both"/>
      </w:pPr>
      <w:r>
        <w:rPr>
          <w:rFonts w:ascii="Arial" w:cs="Arial" w:eastAsia="Arial" w:hAnsi="Arial"/>
          <w:color w:val="2C2C2C"/>
          <w:sz w:val="22"/>
          <w:szCs w:val="22"/>
        </w:rPr>
        <w:t xml:space="preserve">The scope of this project covers the demand forecasting operations of NexaChain Electronics, a fictional mid-sized consumer electronics company operating across three regions in India (North, South, and West). The company manufactures and distributes eight product categories ranging from smartphones and laptops to gaming consoles and wearables.</w:t>
      </w:r>
    </w:p>
    <w:p>
      <w:pPr>
        <w:pStyle w:val="ListParagraph"/>
        <w:numPr>
          <w:ilvl w:val="0"/>
          <w:numId w:val="2"/>
        </w:numPr>
        <w:spacing w:after="80"/>
      </w:pPr>
      <w:r>
        <w:rPr>
          <w:rFonts w:ascii="Arial" w:cs="Arial" w:eastAsia="Arial" w:hAnsi="Arial"/>
          <w:color w:val="2C2C2C"/>
          <w:sz w:val="22"/>
          <w:szCs w:val="22"/>
        </w:rPr>
        <w:t xml:space="preserve">Planning Horizon: Monthly forecasting for 6-month forward windows</w:t>
      </w:r>
    </w:p>
    <w:p>
      <w:pPr>
        <w:pStyle w:val="ListParagraph"/>
        <w:numPr>
          <w:ilvl w:val="0"/>
          <w:numId w:val="2"/>
        </w:numPr>
        <w:spacing w:after="80"/>
      </w:pPr>
      <w:r>
        <w:rPr>
          <w:rFonts w:ascii="Arial" w:cs="Arial" w:eastAsia="Arial" w:hAnsi="Arial"/>
          <w:color w:val="2C2C2C"/>
          <w:sz w:val="22"/>
          <w:szCs w:val="22"/>
        </w:rPr>
        <w:t xml:space="preserve">Geography: Three sales regions – North, South, West India</w:t>
      </w:r>
    </w:p>
    <w:p>
      <w:pPr>
        <w:pStyle w:val="ListParagraph"/>
        <w:numPr>
          <w:ilvl w:val="0"/>
          <w:numId w:val="2"/>
        </w:numPr>
        <w:spacing w:after="80"/>
      </w:pPr>
      <w:r>
        <w:rPr>
          <w:rFonts w:ascii="Arial" w:cs="Arial" w:eastAsia="Arial" w:hAnsi="Arial"/>
          <w:color w:val="2C2C2C"/>
          <w:sz w:val="22"/>
          <w:szCs w:val="22"/>
        </w:rPr>
        <w:t xml:space="preserve">Product Portfolio: 8 SKUs across 6 electronics categories</w:t>
      </w:r>
    </w:p>
    <w:p>
      <w:pPr>
        <w:pStyle w:val="ListParagraph"/>
        <w:numPr>
          <w:ilvl w:val="0"/>
          <w:numId w:val="2"/>
        </w:numPr>
        <w:spacing w:after="80"/>
      </w:pPr>
      <w:r>
        <w:rPr>
          <w:rFonts w:ascii="Arial" w:cs="Arial" w:eastAsia="Arial" w:hAnsi="Arial"/>
          <w:color w:val="2C2C2C"/>
          <w:sz w:val="22"/>
          <w:szCs w:val="22"/>
        </w:rPr>
        <w:t xml:space="preserve">Data Period: 36 months of historical demand (Jan 2022 – Dec 2024)</w:t>
      </w:r>
    </w:p>
    <w:p>
      <w:pPr>
        <w:pStyle w:val="Heading2"/>
        <w:spacing w:after="120" w:before="240"/>
      </w:pPr>
      <w:r>
        <w:rPr>
          <w:rFonts w:ascii="Arial" w:cs="Arial" w:eastAsia="Arial" w:hAnsi="Arial"/>
          <w:b/>
          <w:bCs/>
          <w:color w:val="2E75B6"/>
          <w:sz w:val="26"/>
          <w:szCs w:val="26"/>
        </w:rPr>
        <w:t xml:space="preserve">1.3 SCM Area Addressed</w:t>
      </w:r>
    </w:p>
    <w:p>
      <w:pPr>
        <w:pStyle w:val="ListParagraph"/>
        <w:numPr>
          <w:ilvl w:val="0"/>
          <w:numId w:val="2"/>
        </w:numPr>
        <w:spacing w:after="80"/>
      </w:pPr>
      <w:r>
        <w:rPr>
          <w:rFonts w:ascii="Arial" w:cs="Arial" w:eastAsia="Arial" w:hAnsi="Arial"/>
          <w:color w:val="2C2C2C"/>
          <w:sz w:val="22"/>
          <w:szCs w:val="22"/>
        </w:rPr>
        <w:t xml:space="preserve">Demand Planning: Generating accurate short-to-medium term demand forecasts to replace error-prone manual methods.</w:t>
      </w:r>
    </w:p>
    <w:p>
      <w:pPr>
        <w:pStyle w:val="ListParagraph"/>
        <w:numPr>
          <w:ilvl w:val="0"/>
          <w:numId w:val="2"/>
        </w:numPr>
        <w:spacing w:after="80"/>
      </w:pPr>
      <w:r>
        <w:rPr>
          <w:rFonts w:ascii="Arial" w:cs="Arial" w:eastAsia="Arial" w:hAnsi="Arial"/>
          <w:color w:val="2C2C2C"/>
          <w:sz w:val="22"/>
          <w:szCs w:val="22"/>
        </w:rPr>
        <w:t xml:space="preserve">Inventory Management: Using forecast accuracy to right-size safety stocks and prevent stockouts or excess holding.</w:t>
      </w:r>
    </w:p>
    <w:p>
      <w:pPr>
        <w:pStyle w:val="ListParagraph"/>
        <w:numPr>
          <w:ilvl w:val="0"/>
          <w:numId w:val="2"/>
        </w:numPr>
        <w:spacing w:after="80"/>
      </w:pPr>
      <w:r>
        <w:rPr>
          <w:rFonts w:ascii="Arial" w:cs="Arial" w:eastAsia="Arial" w:hAnsi="Arial"/>
          <w:color w:val="2C2C2C"/>
          <w:sz w:val="22"/>
          <w:szCs w:val="22"/>
        </w:rPr>
        <w:t xml:space="preserve">Resource Allocation: Aligning procurement orders and labor plans with predicted demand.</w:t>
      </w:r>
    </w:p>
    <w:p>
      <w:pPr>
        <w:pStyle w:val="ListParagraph"/>
        <w:numPr>
          <w:ilvl w:val="0"/>
          <w:numId w:val="2"/>
        </w:numPr>
        <w:spacing w:after="80"/>
      </w:pPr>
      <w:r>
        <w:rPr>
          <w:rFonts w:ascii="Arial" w:cs="Arial" w:eastAsia="Arial" w:hAnsi="Arial"/>
          <w:color w:val="2C2C2C"/>
          <w:sz w:val="22"/>
          <w:szCs w:val="22"/>
        </w:rPr>
        <w:t xml:space="preserve">Supplier Coordination: Sharing forward-looking demand signals with suppliers to improve procurement lead times.</w:t>
      </w:r>
    </w:p>
    <w:p>
      <w:pPr>
        <w:pStyle w:val="Heading2"/>
        <w:spacing w:after="120" w:before="240"/>
      </w:pPr>
      <w:r>
        <w:rPr>
          <w:rFonts w:ascii="Arial" w:cs="Arial" w:eastAsia="Arial" w:hAnsi="Arial"/>
          <w:b/>
          <w:bCs/>
          <w:color w:val="2E75B6"/>
          <w:sz w:val="26"/>
          <w:szCs w:val="26"/>
        </w:rPr>
        <w:t xml:space="preserve">1.4 Proposed Solution Approach</w:t>
      </w:r>
    </w:p>
    <w:p>
      <w:pPr>
        <w:spacing w:after="120"/>
        <w:jc w:val="both"/>
      </w:pPr>
      <w:r>
        <w:rPr>
          <w:rFonts w:ascii="Arial" w:cs="Arial" w:eastAsia="Arial" w:hAnsi="Arial"/>
          <w:color w:val="2C2C2C"/>
          <w:sz w:val="22"/>
          <w:szCs w:val="22"/>
        </w:rPr>
        <w:t xml:space="preserve">We propose an AI/ML-powered Supply Chain Intelligence Dashboard that ingests historical demand data and uses a Random Forest Regressor with time-series features to generate 6-month demand forecasts per product. The dashboard provides interactive visualizations enabling executives and supply chain managers to monitor forecasts, compare them against manual estimates, track inventory health, and identify stockout risks in real time.</w:t>
      </w:r>
    </w:p>
    <w:p>
      <w:pPr>
        <w:spacing w:after="0"/>
      </w:pPr>
      <w:r>
        <w:br w:type="page"/>
      </w:r>
    </w:p>
    <w:p>
      <w:pPr>
        <w:pStyle w:val="Heading1"/>
        <w:pBdr>
          <w:bottom w:val="single" w:color="2E75B6" w:sz="8" w:space="4"/>
        </w:pBdr>
        <w:spacing w:after="160" w:before="360"/>
      </w:pPr>
      <w:r>
        <w:rPr>
          <w:rFonts w:ascii="Arial" w:cs="Arial" w:eastAsia="Arial" w:hAnsi="Arial"/>
          <w:b/>
          <w:bCs/>
          <w:color w:val="1F3A6E"/>
          <w:sz w:val="32"/>
          <w:szCs w:val="32"/>
        </w:rPr>
        <w:t xml:space="preserve">2. Data Structure and Sample Data</w:t>
      </w:r>
    </w:p>
    <w:p>
      <w:pPr>
        <w:pStyle w:val="Heading2"/>
        <w:spacing w:after="120" w:before="240"/>
      </w:pPr>
      <w:r>
        <w:rPr>
          <w:rFonts w:ascii="Arial" w:cs="Arial" w:eastAsia="Arial" w:hAnsi="Arial"/>
          <w:b/>
          <w:bCs/>
          <w:color w:val="2E75B6"/>
          <w:sz w:val="26"/>
          <w:szCs w:val="26"/>
        </w:rPr>
        <w:t xml:space="preserve">2.1 Database Schema Overview</w:t>
      </w:r>
    </w:p>
    <w:p>
      <w:pPr>
        <w:spacing w:after="120"/>
        <w:jc w:val="both"/>
      </w:pPr>
      <w:r>
        <w:rPr>
          <w:rFonts w:ascii="Arial" w:cs="Arial" w:eastAsia="Arial" w:hAnsi="Arial"/>
          <w:color w:val="2C2C2C"/>
          <w:sz w:val="22"/>
          <w:szCs w:val="22"/>
        </w:rPr>
        <w:t xml:space="preserve">The data model consists of five core tables designed to capture the complete demand-to-inventory lifecycle for NexaChain Electronics. All tables are stored as relational CSV files and loaded into Pandas DataFrames at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2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Key</w:t>
            </w:r>
          </w:p>
        </w:tc>
        <w:tc>
          <w:tcPr>
            <w:tcW w:type="dxa" w:w="5026"/>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suppliers.csv</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supplier_id</w:t>
            </w:r>
          </w:p>
        </w:tc>
        <w:tc>
          <w:tcPr>
            <w:tcW w:type="dxa" w:w="50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Supplier master: name, country, reliability score, lead time, on-time delivery %</w:t>
            </w:r>
          </w:p>
        </w:tc>
      </w:tr>
      <w:tr>
        <w:tc>
          <w:tcPr>
            <w:tcW w:type="dxa" w:w="18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products.csv</w:t>
            </w:r>
          </w:p>
        </w:tc>
        <w:tc>
          <w:tcPr>
            <w:tcW w:type="dxa" w:w="2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product_id</w:t>
            </w:r>
          </w:p>
        </w:tc>
        <w:tc>
          <w:tcPr>
            <w:tcW w:type="dxa" w:w="50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Product master: name, category, unit price, supplier FK, reorder point, safety stock</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demand_history.csv</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record_id</w:t>
            </w:r>
          </w:p>
        </w:tc>
        <w:tc>
          <w:tcPr>
            <w:tcW w:type="dxa" w:w="50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Monthly demand per product per region: actual demand, manual forecast, unit price, revenue</w:t>
            </w:r>
          </w:p>
        </w:tc>
      </w:tr>
      <w:tr>
        <w:tc>
          <w:tcPr>
            <w:tcW w:type="dxa" w:w="18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inventory.csv</w:t>
            </w:r>
          </w:p>
        </w:tc>
        <w:tc>
          <w:tcPr>
            <w:tcW w:type="dxa" w:w="2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product_id + year_month</w:t>
            </w:r>
          </w:p>
        </w:tc>
        <w:tc>
          <w:tcPr>
            <w:tcW w:type="dxa" w:w="50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Monthly inventory positions: opening/closing stock, units received, stockout flags, holding cost</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forecasts.csv</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product_id + year_month</w:t>
            </w:r>
          </w:p>
        </w:tc>
        <w:tc>
          <w:tcPr>
            <w:tcW w:type="dxa" w:w="50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ML-generated forecasts: predicted demand, confidence bounds, is_future flag for Jan–Jun 2025</w:t>
            </w:r>
          </w:p>
        </w:tc>
      </w:tr>
      <w:tr>
        <w:tc>
          <w:tcPr>
            <w:tcW w:type="dxa" w:w="18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model_metrics.csv</w:t>
            </w:r>
          </w:p>
        </w:tc>
        <w:tc>
          <w:tcPr>
            <w:tcW w:type="dxa" w:w="2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product_id</w:t>
            </w:r>
          </w:p>
        </w:tc>
        <w:tc>
          <w:tcPr>
            <w:tcW w:type="dxa" w:w="50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Per-product model performance: MAE, RMSE, MAPE, ML accuracy, manual accuracy, improvement %</w:t>
            </w:r>
          </w:p>
        </w:tc>
      </w:tr>
    </w:tbl>
    <w:p>
      <w:pPr>
        <w:spacing w:before="200"/>
      </w:pPr>
      <w:r>
        <w:t xml:space="preserve"/>
      </w:r>
    </w:p>
    <w:p>
      <w:pPr>
        <w:pStyle w:val="Heading2"/>
        <w:spacing w:after="120" w:before="240"/>
      </w:pPr>
      <w:r>
        <w:rPr>
          <w:rFonts w:ascii="Arial" w:cs="Arial" w:eastAsia="Arial" w:hAnsi="Arial"/>
          <w:b/>
          <w:bCs/>
          <w:color w:val="2E75B6"/>
          <w:sz w:val="26"/>
          <w:szCs w:val="26"/>
        </w:rPr>
        <w:t xml:space="preserve">2.2 Entity Relationship Schema</w:t>
      </w:r>
    </w:p>
    <w:p>
      <w:pPr>
        <w:spacing w:after="120"/>
        <w:jc w:val="both"/>
      </w:pPr>
      <w:r>
        <w:rPr>
          <w:rFonts w:ascii="Arial" w:cs="Arial" w:eastAsia="Arial" w:hAnsi="Arial"/>
          <w:color w:val="2C2C2C"/>
          <w:sz w:val="22"/>
          <w:szCs w:val="22"/>
        </w:rPr>
        <w:t xml:space="preserve">The entity relationships below define the data model. Foreign key references ensure referential integrity:</w:t>
      </w:r>
    </w:p>
    <w:p>
      <w:pPr>
        <w:pStyle w:val="ListParagraph"/>
        <w:numPr>
          <w:ilvl w:val="0"/>
          <w:numId w:val="2"/>
        </w:numPr>
        <w:spacing w:after="80"/>
      </w:pPr>
      <w:r>
        <w:rPr>
          <w:rFonts w:ascii="Arial" w:cs="Arial" w:eastAsia="Arial" w:hAnsi="Arial"/>
          <w:color w:val="2C2C2C"/>
          <w:sz w:val="22"/>
          <w:szCs w:val="22"/>
        </w:rPr>
        <w:t xml:space="preserve">suppliers (supplier_id PK) ─── 1:N ──&gt; products (supplier_id FK)</w:t>
      </w:r>
    </w:p>
    <w:p>
      <w:pPr>
        <w:pStyle w:val="ListParagraph"/>
        <w:numPr>
          <w:ilvl w:val="0"/>
          <w:numId w:val="2"/>
        </w:numPr>
        <w:spacing w:after="80"/>
      </w:pPr>
      <w:r>
        <w:rPr>
          <w:rFonts w:ascii="Arial" w:cs="Arial" w:eastAsia="Arial" w:hAnsi="Arial"/>
          <w:color w:val="2C2C2C"/>
          <w:sz w:val="22"/>
          <w:szCs w:val="22"/>
        </w:rPr>
        <w:t xml:space="preserve">products  (product_id PK)  ─── 1:N ──&gt; demand_history (product_id FK)</w:t>
      </w:r>
    </w:p>
    <w:p>
      <w:pPr>
        <w:pStyle w:val="ListParagraph"/>
        <w:numPr>
          <w:ilvl w:val="0"/>
          <w:numId w:val="2"/>
        </w:numPr>
        <w:spacing w:after="80"/>
      </w:pPr>
      <w:r>
        <w:rPr>
          <w:rFonts w:ascii="Arial" w:cs="Arial" w:eastAsia="Arial" w:hAnsi="Arial"/>
          <w:color w:val="2C2C2C"/>
          <w:sz w:val="22"/>
          <w:szCs w:val="22"/>
        </w:rPr>
        <w:t xml:space="preserve">products  (product_id PK)  ─── 1:N ──&gt; inventory (product_id FK)</w:t>
      </w:r>
    </w:p>
    <w:p>
      <w:pPr>
        <w:pStyle w:val="ListParagraph"/>
        <w:numPr>
          <w:ilvl w:val="0"/>
          <w:numId w:val="2"/>
        </w:numPr>
        <w:spacing w:after="80"/>
      </w:pPr>
      <w:r>
        <w:rPr>
          <w:rFonts w:ascii="Arial" w:cs="Arial" w:eastAsia="Arial" w:hAnsi="Arial"/>
          <w:color w:val="2C2C2C"/>
          <w:sz w:val="22"/>
          <w:szCs w:val="22"/>
        </w:rPr>
        <w:t xml:space="preserve">products  (product_id PK)  ─── 1:N ──&gt; forecasts (product_id FK)</w:t>
      </w:r>
    </w:p>
    <w:p>
      <w:pPr>
        <w:pStyle w:val="ListParagraph"/>
        <w:numPr>
          <w:ilvl w:val="0"/>
          <w:numId w:val="2"/>
        </w:numPr>
        <w:spacing w:after="80"/>
      </w:pPr>
      <w:r>
        <w:rPr>
          <w:rFonts w:ascii="Arial" w:cs="Arial" w:eastAsia="Arial" w:hAnsi="Arial"/>
          <w:color w:val="2C2C2C"/>
          <w:sz w:val="22"/>
          <w:szCs w:val="22"/>
        </w:rPr>
        <w:t xml:space="preserve">products  (product_id PK)  ─── 1:1 ──&gt; model_metrics (product_id FK)</w:t>
      </w:r>
    </w:p>
    <w:p>
      <w:pPr>
        <w:spacing w:before="120"/>
      </w:pPr>
      <w:r>
        <w:t xml:space="preserve"/>
      </w:r>
    </w:p>
    <w:p>
      <w:pPr>
        <w:pStyle w:val="Heading2"/>
        <w:spacing w:after="120" w:before="240"/>
      </w:pPr>
      <w:r>
        <w:rPr>
          <w:rFonts w:ascii="Arial" w:cs="Arial" w:eastAsia="Arial" w:hAnsi="Arial"/>
          <w:b/>
          <w:bCs/>
          <w:color w:val="2E75B6"/>
          <w:sz w:val="26"/>
          <w:szCs w:val="26"/>
        </w:rPr>
        <w:t xml:space="preserve">2.3 Sample Data Summary</w:t>
      </w:r>
    </w:p>
    <w:p>
      <w:pPr>
        <w:spacing w:after="120"/>
        <w:jc w:val="both"/>
      </w:pPr>
      <w:r>
        <w:rPr>
          <w:rFonts w:ascii="Arial" w:cs="Arial" w:eastAsia="Arial" w:hAnsi="Arial"/>
          <w:color w:val="2C2C2C"/>
          <w:sz w:val="22"/>
          <w:szCs w:val="22"/>
        </w:rPr>
        <w:t xml:space="preserve">The synthetic dataset was generated to mimic real-world Indian electronics market patterns, including Diwali/festive-season demand spikes, monsoon-sale patterns, and regional distribution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15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Records</w:t>
            </w:r>
          </w:p>
        </w:tc>
        <w:tc>
          <w:tcPr>
            <w:tcW w:type="dxa" w:w="5026"/>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Parameters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suppliers.csv</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5</w:t>
            </w:r>
          </w:p>
        </w:tc>
        <w:tc>
          <w:tcPr>
            <w:tcW w:type="dxa" w:w="50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Countries: China, Taiwan, South Korea, Japan, India</w:t>
            </w:r>
          </w:p>
        </w:tc>
      </w:tr>
      <w:tr>
        <w:tc>
          <w:tcPr>
            <w:tcW w:type="dxa" w:w="25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products.csv</w:t>
            </w:r>
          </w:p>
        </w:tc>
        <w:tc>
          <w:tcPr>
            <w:tcW w:type="dxa" w:w="15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8</w:t>
            </w:r>
          </w:p>
        </w:tc>
        <w:tc>
          <w:tcPr>
            <w:tcW w:type="dxa" w:w="50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Prices: ₹1,500 – ₹65,000 | 6 categories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demand_history.csv</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864</w:t>
            </w:r>
          </w:p>
        </w:tc>
        <w:tc>
          <w:tcPr>
            <w:tcW w:type="dxa" w:w="50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36 months × 3 regions × 8 products | Jan 2022 – Dec 2024</w:t>
            </w:r>
          </w:p>
        </w:tc>
      </w:tr>
      <w:tr>
        <w:tc>
          <w:tcPr>
            <w:tcW w:type="dxa" w:w="25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inventory.csv</w:t>
            </w:r>
          </w:p>
        </w:tc>
        <w:tc>
          <w:tcPr>
            <w:tcW w:type="dxa" w:w="15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288</w:t>
            </w:r>
          </w:p>
        </w:tc>
        <w:tc>
          <w:tcPr>
            <w:tcW w:type="dxa" w:w="50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36 months × 8 products | stockout flags, holding costs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forecasts.csv</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~280</w:t>
            </w:r>
          </w:p>
        </w:tc>
        <w:tc>
          <w:tcPr>
            <w:tcW w:type="dxa" w:w="50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Historical + 6-month future (Jan–Jun 2025) with CI bands</w:t>
            </w:r>
          </w:p>
        </w:tc>
      </w:tr>
    </w:tbl>
    <w:p>
      <w:pPr>
        <w:spacing w:before="200"/>
      </w:pPr>
      <w:r>
        <w:t xml:space="preserve"/>
      </w:r>
    </w:p>
    <w:p>
      <w:pPr>
        <w:pStyle w:val="Heading2"/>
        <w:spacing w:after="120" w:before="240"/>
      </w:pPr>
      <w:r>
        <w:rPr>
          <w:rFonts w:ascii="Arial" w:cs="Arial" w:eastAsia="Arial" w:hAnsi="Arial"/>
          <w:b/>
          <w:bCs/>
          <w:color w:val="2E75B6"/>
          <w:sz w:val="26"/>
          <w:szCs w:val="26"/>
        </w:rPr>
        <w:t xml:space="preserve">2.4 Key Design Decisions</w:t>
      </w:r>
    </w:p>
    <w:p>
      <w:pPr>
        <w:pStyle w:val="ListParagraph"/>
        <w:numPr>
          <w:ilvl w:val="0"/>
          <w:numId w:val="2"/>
        </w:numPr>
        <w:spacing w:after="80"/>
      </w:pPr>
      <w:r>
        <w:rPr>
          <w:rFonts w:ascii="Arial" w:cs="Arial" w:eastAsia="Arial" w:hAnsi="Arial"/>
          <w:b/>
          <w:bCs/>
          <w:color w:val="2C2C2C"/>
          <w:sz w:val="22"/>
          <w:szCs w:val="22"/>
        </w:rPr>
        <w:t xml:space="preserve">Temporal granularity: </w:t>
      </w:r>
      <w:r>
        <w:rPr>
          <w:rFonts w:ascii="Arial" w:cs="Arial" w:eastAsia="Arial" w:hAnsi="Arial"/>
          <w:color w:val="2C2C2C"/>
          <w:sz w:val="22"/>
          <w:szCs w:val="22"/>
        </w:rPr>
        <w:t xml:space="preserve">Monthly granularity balances forecast signal strength against operational planning cycle.</w:t>
      </w:r>
    </w:p>
    <w:p>
      <w:pPr>
        <w:pStyle w:val="ListParagraph"/>
        <w:numPr>
          <w:ilvl w:val="0"/>
          <w:numId w:val="2"/>
        </w:numPr>
        <w:spacing w:after="80"/>
      </w:pPr>
      <w:r>
        <w:rPr>
          <w:rFonts w:ascii="Arial" w:cs="Arial" w:eastAsia="Arial" w:hAnsi="Arial"/>
          <w:b/>
          <w:bCs/>
          <w:color w:val="2C2C2C"/>
          <w:sz w:val="22"/>
          <w:szCs w:val="22"/>
        </w:rPr>
        <w:t xml:space="preserve">Demand vs inventory separation: </w:t>
      </w:r>
      <w:r>
        <w:rPr>
          <w:rFonts w:ascii="Arial" w:cs="Arial" w:eastAsia="Arial" w:hAnsi="Arial"/>
          <w:color w:val="2C2C2C"/>
          <w:sz w:val="22"/>
          <w:szCs w:val="22"/>
        </w:rPr>
        <w:t xml:space="preserve">Separate demand_history and inventory tables allow independent analysis of market demand versus fulfilled demand.</w:t>
      </w:r>
    </w:p>
    <w:p>
      <w:pPr>
        <w:pStyle w:val="ListParagraph"/>
        <w:numPr>
          <w:ilvl w:val="0"/>
          <w:numId w:val="2"/>
        </w:numPr>
        <w:spacing w:after="80"/>
      </w:pPr>
      <w:r>
        <w:rPr>
          <w:rFonts w:ascii="Arial" w:cs="Arial" w:eastAsia="Arial" w:hAnsi="Arial"/>
          <w:b/>
          <w:bCs/>
          <w:color w:val="2C2C2C"/>
          <w:sz w:val="22"/>
          <w:szCs w:val="22"/>
        </w:rPr>
        <w:t xml:space="preserve">Manual forecast benchmark: </w:t>
      </w:r>
      <w:r>
        <w:rPr>
          <w:rFonts w:ascii="Arial" w:cs="Arial" w:eastAsia="Arial" w:hAnsi="Arial"/>
          <w:color w:val="2C2C2C"/>
          <w:sz w:val="22"/>
          <w:szCs w:val="22"/>
        </w:rPr>
        <w:t xml:space="preserve">Each record stores a manual_forecast field to enable direct benchmark comparison against ML predictions.</w:t>
      </w:r>
    </w:p>
    <w:p>
      <w:pPr>
        <w:pStyle w:val="ListParagraph"/>
        <w:numPr>
          <w:ilvl w:val="0"/>
          <w:numId w:val="2"/>
        </w:numPr>
        <w:spacing w:after="80"/>
      </w:pPr>
      <w:r>
        <w:rPr>
          <w:rFonts w:ascii="Arial" w:cs="Arial" w:eastAsia="Arial" w:hAnsi="Arial"/>
          <w:b/>
          <w:bCs/>
          <w:color w:val="2C2C2C"/>
          <w:sz w:val="22"/>
          <w:szCs w:val="22"/>
        </w:rPr>
        <w:t xml:space="preserve">Seasonality encoding: </w:t>
      </w:r>
      <w:r>
        <w:rPr>
          <w:rFonts w:ascii="Arial" w:cs="Arial" w:eastAsia="Arial" w:hAnsi="Arial"/>
          <w:color w:val="2C2C2C"/>
          <w:sz w:val="22"/>
          <w:szCs w:val="22"/>
        </w:rPr>
        <w:t xml:space="preserve">Festival multipliers (Oct: 1.45×, Nov: 1.35×, Jan: 1.25×) applied during generation to reflect Indian market seasonality.</w:t>
      </w:r>
    </w:p>
    <w:p>
      <w:pPr>
        <w:spacing w:after="0"/>
      </w:pPr>
      <w:r>
        <w:br w:type="page"/>
      </w:r>
    </w:p>
    <w:p>
      <w:pPr>
        <w:pStyle w:val="Heading1"/>
        <w:pBdr>
          <w:bottom w:val="single" w:color="2E75B6" w:sz="8" w:space="4"/>
        </w:pBdr>
        <w:spacing w:after="160" w:before="360"/>
      </w:pPr>
      <w:r>
        <w:rPr>
          <w:rFonts w:ascii="Arial" w:cs="Arial" w:eastAsia="Arial" w:hAnsi="Arial"/>
          <w:b/>
          <w:bCs/>
          <w:color w:val="1F3A6E"/>
          <w:sz w:val="32"/>
          <w:szCs w:val="32"/>
        </w:rPr>
        <w:t xml:space="preserve">3. Dashboard Design and Development</w:t>
      </w:r>
    </w:p>
    <w:p>
      <w:pPr>
        <w:pStyle w:val="Heading2"/>
        <w:spacing w:after="120" w:before="240"/>
      </w:pPr>
      <w:r>
        <w:rPr>
          <w:rFonts w:ascii="Arial" w:cs="Arial" w:eastAsia="Arial" w:hAnsi="Arial"/>
          <w:b/>
          <w:bCs/>
          <w:color w:val="2E75B6"/>
          <w:sz w:val="26"/>
          <w:szCs w:val="26"/>
        </w:rPr>
        <w:t xml:space="preserve">3.1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526"/>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 Library</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Dashboard Framework</w:t>
            </w:r>
          </w:p>
        </w:tc>
        <w:tc>
          <w:tcPr>
            <w:tcW w:type="dxa" w:w="6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Streamlit 1.32+ (Python)</w:t>
            </w:r>
          </w:p>
        </w:tc>
      </w:tr>
      <w:tr>
        <w:tc>
          <w:tcPr>
            <w:tcW w:type="dxa" w:w="25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Visualizations</w:t>
            </w:r>
          </w:p>
        </w:tc>
        <w:tc>
          <w:tcPr>
            <w:tcW w:type="dxa" w:w="65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Plotly 5.18+ (interactive charts)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ML / Forecasting</w:t>
            </w:r>
          </w:p>
        </w:tc>
        <w:tc>
          <w:tcPr>
            <w:tcW w:type="dxa" w:w="6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scikit-learn 1.3+ (Random Forest Regressor)</w:t>
            </w:r>
          </w:p>
        </w:tc>
      </w:tr>
      <w:tr>
        <w:tc>
          <w:tcPr>
            <w:tcW w:type="dxa" w:w="25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Data Processing</w:t>
            </w:r>
          </w:p>
        </w:tc>
        <w:tc>
          <w:tcPr>
            <w:tcW w:type="dxa" w:w="65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Pandas 2.0+, NumPy 1.24+</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Data Storage</w:t>
            </w:r>
          </w:p>
        </w:tc>
        <w:tc>
          <w:tcPr>
            <w:tcW w:type="dxa" w:w="65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CSV flat files (loaded into Pandas DataFrames)</w:t>
            </w:r>
          </w:p>
        </w:tc>
      </w:tr>
      <w:tr>
        <w:tc>
          <w:tcPr>
            <w:tcW w:type="dxa" w:w="25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Styling</w:t>
            </w:r>
          </w:p>
        </w:tc>
        <w:tc>
          <w:tcPr>
            <w:tcW w:type="dxa" w:w="65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Custom CSS (dark theme, card layouts)</w:t>
            </w:r>
          </w:p>
        </w:tc>
      </w:tr>
    </w:tbl>
    <w:p>
      <w:pPr>
        <w:spacing w:before="200"/>
      </w:pPr>
      <w:r>
        <w:t xml:space="preserve"/>
      </w:r>
    </w:p>
    <w:p>
      <w:pPr>
        <w:pStyle w:val="Heading2"/>
        <w:spacing w:after="120" w:before="240"/>
      </w:pPr>
      <w:r>
        <w:rPr>
          <w:rFonts w:ascii="Arial" w:cs="Arial" w:eastAsia="Arial" w:hAnsi="Arial"/>
          <w:b/>
          <w:bCs/>
          <w:color w:val="2E75B6"/>
          <w:sz w:val="26"/>
          <w:szCs w:val="26"/>
        </w:rPr>
        <w:t xml:space="preserve">3.2 Dashboard Pages</w:t>
      </w:r>
    </w:p>
    <w:p>
      <w:pPr>
        <w:spacing w:after="80" w:before="180"/>
      </w:pPr>
      <w:r>
        <w:rPr>
          <w:rFonts w:ascii="Arial" w:cs="Arial" w:eastAsia="Arial" w:hAnsi="Arial"/>
          <w:b/>
          <w:bCs/>
          <w:color w:val="0D6E6E"/>
          <w:sz w:val="22"/>
          <w:szCs w:val="22"/>
        </w:rPr>
        <w:t xml:space="preserve">Page 1 – Executive Overview</w:t>
      </w:r>
    </w:p>
    <w:p>
      <w:pPr>
        <w:spacing w:after="120"/>
        <w:jc w:val="both"/>
      </w:pPr>
      <w:r>
        <w:rPr>
          <w:rFonts w:ascii="Arial" w:cs="Arial" w:eastAsia="Arial" w:hAnsi="Arial"/>
          <w:color w:val="2C2C2C"/>
          <w:sz w:val="22"/>
          <w:szCs w:val="22"/>
        </w:rPr>
        <w:t xml:space="preserve">Provides a high-level summary for C-suite decision-makers. Displays four KPI cards (Total Revenue, Total Demand Units, ML Forecast Accuracy, Stockout Rate), a monthly demand trend line chart, a revenue-by-category donut chart, a product demand bar chart, and an ML vs Manual accuracy comparison chart.</w:t>
      </w:r>
    </w:p>
    <w:p>
      <w:pPr>
        <w:spacing w:after="80" w:before="180"/>
      </w:pPr>
      <w:r>
        <w:rPr>
          <w:rFonts w:ascii="Arial" w:cs="Arial" w:eastAsia="Arial" w:hAnsi="Arial"/>
          <w:b/>
          <w:bCs/>
          <w:color w:val="0D6E6E"/>
          <w:sz w:val="22"/>
          <w:szCs w:val="22"/>
        </w:rPr>
        <w:t xml:space="preserve">Page 2 – Demand Forecast</w:t>
      </w:r>
    </w:p>
    <w:p>
      <w:pPr>
        <w:spacing w:after="120"/>
        <w:jc w:val="both"/>
      </w:pPr>
      <w:r>
        <w:rPr>
          <w:rFonts w:ascii="Arial" w:cs="Arial" w:eastAsia="Arial" w:hAnsi="Arial"/>
          <w:color w:val="2C2C2C"/>
          <w:sz w:val="22"/>
          <w:szCs w:val="22"/>
        </w:rPr>
        <w:t xml:space="preserve">Core forecasting page. Features a per-product line chart overlaying three series: actual demand (blue), ML predicted demand (teal dashed), and manual forecast (red dashed). The 6-month future forecast is shown in gold with a confidence band shaded in teal. Residual error analysis is shown as a grouped bar chart. A future forecast table and four product-level KPI cards are included.</w:t>
      </w:r>
    </w:p>
    <w:p>
      <w:pPr>
        <w:spacing w:after="80" w:before="180"/>
      </w:pPr>
      <w:r>
        <w:rPr>
          <w:rFonts w:ascii="Arial" w:cs="Arial" w:eastAsia="Arial" w:hAnsi="Arial"/>
          <w:b/>
          <w:bCs/>
          <w:color w:val="0D6E6E"/>
          <w:sz w:val="22"/>
          <w:szCs w:val="22"/>
        </w:rPr>
        <w:t xml:space="preserve">Page 3 – Product Analysis</w:t>
      </w:r>
    </w:p>
    <w:p>
      <w:pPr>
        <w:spacing w:after="120"/>
        <w:jc w:val="both"/>
      </w:pPr>
      <w:r>
        <w:rPr>
          <w:rFonts w:ascii="Arial" w:cs="Arial" w:eastAsia="Arial" w:hAnsi="Arial"/>
          <w:color w:val="2C2C2C"/>
          <w:sz w:val="22"/>
          <w:szCs w:val="22"/>
        </w:rPr>
        <w:t xml:space="preserve">Provides multi-dimensional demand breakdowns. Includes a stacked area chart of all products over time, a regional demand split bar chart, a revenue-per-product bar chart, and a seasonal demand heatmap (Month x Year) for any selected product.</w:t>
      </w:r>
    </w:p>
    <w:p>
      <w:pPr>
        <w:spacing w:after="80" w:before="180"/>
      </w:pPr>
      <w:r>
        <w:rPr>
          <w:rFonts w:ascii="Arial" w:cs="Arial" w:eastAsia="Arial" w:hAnsi="Arial"/>
          <w:b/>
          <w:bCs/>
          <w:color w:val="0D6E6E"/>
          <w:sz w:val="22"/>
          <w:szCs w:val="22"/>
        </w:rPr>
        <w:t xml:space="preserve">Page 4 – Inventory Health</w:t>
      </w:r>
    </w:p>
    <w:p>
      <w:pPr>
        <w:spacing w:after="120"/>
        <w:jc w:val="both"/>
      </w:pPr>
      <w:r>
        <w:rPr>
          <w:rFonts w:ascii="Arial" w:cs="Arial" w:eastAsia="Arial" w:hAnsi="Arial"/>
          <w:color w:val="2C2C2C"/>
          <w:sz w:val="22"/>
          <w:szCs w:val="22"/>
        </w:rPr>
        <w:t xml:space="preserve">Focuses on inventory operations. Shows real-time reorder alerts for products below their reorder point, a stock level trend chart vs reorder point, a stockout frequency bar chart per product, and an order fill rate (coverage %) trend over time.</w:t>
      </w:r>
    </w:p>
    <w:p>
      <w:pPr>
        <w:spacing w:after="80" w:before="180"/>
      </w:pPr>
      <w:r>
        <w:rPr>
          <w:rFonts w:ascii="Arial" w:cs="Arial" w:eastAsia="Arial" w:hAnsi="Arial"/>
          <w:b/>
          <w:bCs/>
          <w:color w:val="0D6E6E"/>
          <w:sz w:val="22"/>
          <w:szCs w:val="22"/>
        </w:rPr>
        <w:t xml:space="preserve">Page 5 – ML Model Insights</w:t>
      </w:r>
    </w:p>
    <w:p>
      <w:pPr>
        <w:spacing w:after="120"/>
        <w:jc w:val="both"/>
      </w:pPr>
      <w:r>
        <w:rPr>
          <w:rFonts w:ascii="Arial" w:cs="Arial" w:eastAsia="Arial" w:hAnsi="Arial"/>
          <w:color w:val="2C2C2C"/>
          <w:sz w:val="22"/>
          <w:szCs w:val="22"/>
        </w:rPr>
        <w:t xml:space="preserve">Explains the forecasting model for technical and managerial audiences. Displays a model architecture card, a per-product performance table (MAE, RMSE, MAPE, accuracy %), an ML vs Manual grouped bar chart, a MAE comparison chart, a feature importance bar chart, and a plain-language explanation of why Random Forest was selected.</w:t>
      </w:r>
    </w:p>
    <w:p>
      <w:pPr>
        <w:pStyle w:val="Heading2"/>
        <w:spacing w:after="120" w:before="240"/>
      </w:pPr>
      <w:r>
        <w:rPr>
          <w:rFonts w:ascii="Arial" w:cs="Arial" w:eastAsia="Arial" w:hAnsi="Arial"/>
          <w:b/>
          <w:bCs/>
          <w:color w:val="2E75B6"/>
          <w:sz w:val="26"/>
          <w:szCs w:val="26"/>
        </w:rPr>
        <w:t xml:space="preserve">3.3 Key Performance Indicators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6026"/>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 and Business Relevance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Forecast Accuracy (%)</w:t>
            </w:r>
          </w:p>
        </w:tc>
        <w:tc>
          <w:tcPr>
            <w:tcW w:type="dxa" w:w="60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100 – MAPE; measures closeness of ML prediction to actual demand. Target: &gt;90%.</w:t>
            </w:r>
          </w:p>
        </w:tc>
      </w:tr>
      <w:tr>
        <w:tc>
          <w:tcPr>
            <w:tcW w:type="dxa" w:w="3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ML vs Manual Improvement</w:t>
            </w:r>
          </w:p>
        </w:tc>
        <w:tc>
          <w:tcPr>
            <w:tcW w:type="dxa" w:w="60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Percentage point gain of ML accuracy over manual forecasting. Demonstrates ROI of ML adoption.</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MAE (Mean Absolute Error)</w:t>
            </w:r>
          </w:p>
        </w:tc>
        <w:tc>
          <w:tcPr>
            <w:tcW w:type="dxa" w:w="60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Average absolute units of forecast error per product per month.</w:t>
            </w:r>
          </w:p>
        </w:tc>
      </w:tr>
      <w:tr>
        <w:tc>
          <w:tcPr>
            <w:tcW w:type="dxa" w:w="3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RMSE</w:t>
            </w:r>
          </w:p>
        </w:tc>
        <w:tc>
          <w:tcPr>
            <w:tcW w:type="dxa" w:w="60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Root Mean Square Error; penalises large errors more heavily. Used alongside MAE.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Stockout Rate (%)</w:t>
            </w:r>
          </w:p>
        </w:tc>
        <w:tc>
          <w:tcPr>
            <w:tcW w:type="dxa" w:w="60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Proportion of product-months where demand exceeded available stock.</w:t>
            </w:r>
          </w:p>
        </w:tc>
      </w:tr>
      <w:tr>
        <w:tc>
          <w:tcPr>
            <w:tcW w:type="dxa" w:w="3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Order Fill Rate (%)</w:t>
            </w:r>
          </w:p>
        </w:tc>
        <w:tc>
          <w:tcPr>
            <w:tcW w:type="dxa" w:w="60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Units sold / total demand; measures supply reliability to customers.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Total Revenue (₹ Cr)</w:t>
            </w:r>
          </w:p>
        </w:tc>
        <w:tc>
          <w:tcPr>
            <w:tcW w:type="dxa" w:w="60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Aggregate revenue from all products and regions in the selected period.</w:t>
            </w:r>
          </w:p>
        </w:tc>
      </w:tr>
      <w:tr>
        <w:tc>
          <w:tcPr>
            <w:tcW w:type="dxa" w:w="3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Holding Cost (₹)</w:t>
            </w:r>
          </w:p>
        </w:tc>
        <w:tc>
          <w:tcPr>
            <w:tcW w:type="dxa" w:w="60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Estimated cost of carrying unsold inventory (0.2% of value per month).</w:t>
            </w:r>
          </w:p>
        </w:tc>
      </w:tr>
    </w:tbl>
    <w:p>
      <w:pPr>
        <w:spacing w:after="0"/>
      </w:pPr>
      <w:r>
        <w:br w:type="page"/>
      </w:r>
    </w:p>
    <w:p>
      <w:pPr>
        <w:pStyle w:val="Heading1"/>
        <w:pBdr>
          <w:bottom w:val="single" w:color="2E75B6" w:sz="8" w:space="4"/>
        </w:pBdr>
        <w:spacing w:after="160" w:before="360"/>
      </w:pPr>
      <w:r>
        <w:rPr>
          <w:rFonts w:ascii="Arial" w:cs="Arial" w:eastAsia="Arial" w:hAnsi="Arial"/>
          <w:b/>
          <w:bCs/>
          <w:color w:val="1F3A6E"/>
          <w:sz w:val="32"/>
          <w:szCs w:val="32"/>
        </w:rPr>
        <w:t xml:space="preserve">4. Machine Learning Integration</w:t>
      </w:r>
    </w:p>
    <w:p>
      <w:pPr>
        <w:pStyle w:val="Heading2"/>
        <w:spacing w:after="120" w:before="240"/>
      </w:pPr>
      <w:r>
        <w:rPr>
          <w:rFonts w:ascii="Arial" w:cs="Arial" w:eastAsia="Arial" w:hAnsi="Arial"/>
          <w:b/>
          <w:bCs/>
          <w:color w:val="2E75B6"/>
          <w:sz w:val="26"/>
          <w:szCs w:val="26"/>
        </w:rPr>
        <w:t xml:space="preserve">4.1 Algorithm: Random Forest Regressor</w:t>
      </w:r>
    </w:p>
    <w:p>
      <w:pPr>
        <w:spacing w:after="120"/>
        <w:jc w:val="both"/>
      </w:pPr>
      <w:r>
        <w:rPr>
          <w:rFonts w:ascii="Arial" w:cs="Arial" w:eastAsia="Arial" w:hAnsi="Arial"/>
          <w:color w:val="2C2C2C"/>
          <w:sz w:val="22"/>
          <w:szCs w:val="22"/>
        </w:rPr>
        <w:t xml:space="preserve">Random Forest is an ensemble method that builds 200 independent decision trees on bootstrapped subsets of the training data and averages their predictions. This approach handles the non-linearity and complex seasonal interactions in electronics demand without requiring explicit model specification of those patterns.</w:t>
      </w:r>
    </w:p>
    <w:p>
      <w:pPr>
        <w:pStyle w:val="Heading2"/>
        <w:spacing w:after="120" w:before="240"/>
      </w:pPr>
      <w:r>
        <w:rPr>
          <w:rFonts w:ascii="Arial" w:cs="Arial" w:eastAsia="Arial" w:hAnsi="Arial"/>
          <w:b/>
          <w:bCs/>
          <w:color w:val="2E75B6"/>
          <w:sz w:val="26"/>
          <w:szCs w:val="26"/>
        </w:rPr>
        <w:t xml:space="preserve">4.2 Feature Engineering</w:t>
      </w:r>
    </w:p>
    <w:p>
      <w:pPr>
        <w:spacing w:after="120"/>
        <w:jc w:val="both"/>
      </w:pPr>
      <w:r>
        <w:rPr>
          <w:rFonts w:ascii="Arial" w:cs="Arial" w:eastAsia="Arial" w:hAnsi="Arial"/>
          <w:color w:val="2C2C2C"/>
          <w:sz w:val="22"/>
          <w:szCs w:val="22"/>
        </w:rPr>
        <w:t xml:space="preserve">A separate model is trained for each product. For each product, the monthly aggregated demand time-series is transformed into a supervised learning problem using the following feature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Group</w:t>
            </w:r>
          </w:p>
        </w:tc>
        <w:tc>
          <w:tcPr>
            <w:tcW w:type="dxa" w:w="20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4626"/>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Lag Features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lag_1, lag_2, lag_3, lag_6, lag_12</w:t>
            </w:r>
          </w:p>
        </w:tc>
        <w:tc>
          <w:tcPr>
            <w:tcW w:type="dxa" w:w="4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Captures momentum and year-over-year patterns</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Rolling Statistics</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rolling_mean_3, rolling_mean_6, rolling_std_3, rolling_std_6</w:t>
            </w:r>
          </w:p>
        </w:tc>
        <w:tc>
          <w:tcPr>
            <w:tcW w:type="dxa" w:w="46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Captures trend smoothing and recent demand volatility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Calendar Features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month_num, quarter, year, trend index</w:t>
            </w:r>
          </w:p>
        </w:tc>
        <w:tc>
          <w:tcPr>
            <w:tcW w:type="dxa" w:w="4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Captures seasonality and long-term growth trend</w:t>
            </w:r>
          </w:p>
        </w:tc>
      </w:tr>
      <w:tr>
        <w:tc>
          <w:tcPr>
            <w:tcW w:type="dxa" w:w="24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Cyclical Encoding</w:t>
            </w:r>
          </w:p>
        </w:tc>
        <w:tc>
          <w:tcPr>
            <w:tcW w:type="dxa" w:w="20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month_sin, month_cos</w:t>
            </w:r>
          </w:p>
        </w:tc>
        <w:tc>
          <w:tcPr>
            <w:tcW w:type="dxa" w:w="46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Ensures Jan and Dec are treated as numerically adjacent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Festival Flags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is_festive (Sep/Oct/Nov), is_new_year (Dec/Jan), is_low_season (Apr/May)</w:t>
            </w:r>
          </w:p>
        </w:tc>
        <w:tc>
          <w:tcPr>
            <w:tcW w:type="dxa" w:w="4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Captures India-specific demand spikes and troughs</w:t>
            </w:r>
          </w:p>
        </w:tc>
      </w:tr>
    </w:tbl>
    <w:p>
      <w:pPr>
        <w:spacing w:before="200"/>
      </w:pPr>
      <w:r>
        <w:t xml:space="preserve"/>
      </w:r>
    </w:p>
    <w:p>
      <w:pPr>
        <w:pStyle w:val="Heading2"/>
        <w:spacing w:after="120" w:before="240"/>
      </w:pPr>
      <w:r>
        <w:rPr>
          <w:rFonts w:ascii="Arial" w:cs="Arial" w:eastAsia="Arial" w:hAnsi="Arial"/>
          <w:b/>
          <w:bCs/>
          <w:color w:val="2E75B6"/>
          <w:sz w:val="26"/>
          <w:szCs w:val="26"/>
        </w:rPr>
        <w:t xml:space="preserve">4.3 Training Methodology</w:t>
      </w:r>
    </w:p>
    <w:p>
      <w:pPr>
        <w:pStyle w:val="ListParagraph"/>
        <w:numPr>
          <w:ilvl w:val="0"/>
          <w:numId w:val="2"/>
        </w:numPr>
        <w:spacing w:after="80"/>
      </w:pPr>
      <w:r>
        <w:rPr>
          <w:rFonts w:ascii="Arial" w:cs="Arial" w:eastAsia="Arial" w:hAnsi="Arial"/>
          <w:color w:val="2C2C2C"/>
          <w:sz w:val="22"/>
          <w:szCs w:val="22"/>
        </w:rPr>
        <w:t xml:space="preserve">Training period: Jan 2022 – Jun 2024 (30 months)</w:t>
      </w:r>
    </w:p>
    <w:p>
      <w:pPr>
        <w:pStyle w:val="ListParagraph"/>
        <w:numPr>
          <w:ilvl w:val="0"/>
          <w:numId w:val="2"/>
        </w:numPr>
        <w:spacing w:after="80"/>
      </w:pPr>
      <w:r>
        <w:rPr>
          <w:rFonts w:ascii="Arial" w:cs="Arial" w:eastAsia="Arial" w:hAnsi="Arial"/>
          <w:color w:val="2C2C2C"/>
          <w:sz w:val="22"/>
          <w:szCs w:val="22"/>
        </w:rPr>
        <w:t xml:space="preserve">Test period: Jul 2024 – Dec 2024 (6 months held out)</w:t>
      </w:r>
    </w:p>
    <w:p>
      <w:pPr>
        <w:pStyle w:val="ListParagraph"/>
        <w:numPr>
          <w:ilvl w:val="0"/>
          <w:numId w:val="2"/>
        </w:numPr>
        <w:spacing w:after="80"/>
      </w:pPr>
      <w:r>
        <w:rPr>
          <w:rFonts w:ascii="Arial" w:cs="Arial" w:eastAsia="Arial" w:hAnsi="Arial"/>
          <w:color w:val="2C2C2C"/>
          <w:sz w:val="22"/>
          <w:szCs w:val="22"/>
        </w:rPr>
        <w:t xml:space="preserve">Hyperparameters: 200 estimators, max_depth=8, min_samples_leaf=2, random_state=42</w:t>
      </w:r>
    </w:p>
    <w:p>
      <w:pPr>
        <w:pStyle w:val="ListParagraph"/>
        <w:numPr>
          <w:ilvl w:val="0"/>
          <w:numId w:val="2"/>
        </w:numPr>
        <w:spacing w:after="80"/>
      </w:pPr>
      <w:r>
        <w:rPr>
          <w:rFonts w:ascii="Arial" w:cs="Arial" w:eastAsia="Arial" w:hAnsi="Arial"/>
          <w:color w:val="2C2C2C"/>
          <w:sz w:val="22"/>
          <w:szCs w:val="22"/>
        </w:rPr>
        <w:t xml:space="preserve">Per-product model: Each of the 8 products has its own independently trained model to capture product-specific seasonality and growth rates.</w:t>
      </w:r>
    </w:p>
    <w:p>
      <w:pPr>
        <w:pStyle w:val="ListParagraph"/>
        <w:numPr>
          <w:ilvl w:val="0"/>
          <w:numId w:val="2"/>
        </w:numPr>
        <w:spacing w:after="80"/>
      </w:pPr>
      <w:r>
        <w:rPr>
          <w:rFonts w:ascii="Arial" w:cs="Arial" w:eastAsia="Arial" w:hAnsi="Arial"/>
          <w:color w:val="2C2C2C"/>
          <w:sz w:val="22"/>
          <w:szCs w:val="22"/>
        </w:rPr>
        <w:t xml:space="preserve">Future forecast: 6-month recursive forecasting (Jan–Jun 2025) using predicted values as lag inputs for subsequent months.</w:t>
      </w:r>
    </w:p>
    <w:p>
      <w:pPr>
        <w:pStyle w:val="ListParagraph"/>
        <w:numPr>
          <w:ilvl w:val="0"/>
          <w:numId w:val="2"/>
        </w:numPr>
        <w:spacing w:after="80"/>
      </w:pPr>
      <w:r>
        <w:rPr>
          <w:rFonts w:ascii="Arial" w:cs="Arial" w:eastAsia="Arial" w:hAnsi="Arial"/>
          <w:color w:val="2C2C2C"/>
          <w:sz w:val="22"/>
          <w:szCs w:val="22"/>
        </w:rPr>
        <w:t xml:space="preserve">Confidence intervals: ±1.5 × rolling standard deviation of the last 6 months.</w:t>
      </w:r>
    </w:p>
    <w:p>
      <w:pPr>
        <w:pStyle w:val="Heading2"/>
        <w:spacing w:after="120" w:before="240"/>
      </w:pPr>
      <w:r>
        <w:rPr>
          <w:rFonts w:ascii="Arial" w:cs="Arial" w:eastAsia="Arial" w:hAnsi="Arial"/>
          <w:b/>
          <w:bCs/>
          <w:color w:val="2E75B6"/>
          <w:sz w:val="26"/>
          <w:szCs w:val="26"/>
        </w:rPr>
        <w:t xml:space="preserve">4.4 Model Performance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200"/>
        <w:gridCol w:w="1800"/>
        <w:gridCol w:w="1626"/>
      </w:tblGrid>
      <w:tr>
        <w:trPr>
          <w:tblHeader/>
        </w:trPr>
        <w:tc>
          <w:tcPr>
            <w:tcW w:type="dxa" w:w="22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11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11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c>
          <w:tcPr>
            <w:tcW w:type="dxa" w:w="12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MAPE (%)</w:t>
            </w:r>
          </w:p>
        </w:tc>
        <w:tc>
          <w:tcPr>
            <w:tcW w:type="dxa" w:w="1800"/>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 Acc. (%)</w:t>
            </w:r>
          </w:p>
        </w:tc>
        <w:tc>
          <w:tcPr>
            <w:tcW w:type="dxa" w:w="1626"/>
            <w:tcBorders>
              <w:top w:val="single" w:color="BFBFBF" w:sz="1"/>
              <w:left w:val="single" w:color="BFBFBF" w:sz="1"/>
              <w:bottom w:val="single" w:color="BFBFBF" w:sz="1"/>
              <w:right w:val="single" w:color="BFBFBF"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Manual Acc. (%)</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Smartphone A</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~312</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~390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9.47</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90.5</w:t>
            </w:r>
          </w:p>
        </w:tc>
        <w:tc>
          <w:tcPr>
            <w:tcW w:type="dxa" w:w="1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84.8</w:t>
            </w:r>
          </w:p>
        </w:tc>
      </w:tr>
      <w:tr>
        <w:tc>
          <w:tcPr>
            <w:tcW w:type="dxa" w:w="2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Laptop Pro</w:t>
            </w:r>
          </w:p>
        </w:tc>
        <w:tc>
          <w:tcPr>
            <w:tcW w:type="dxa" w:w="11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~105</w:t>
            </w:r>
          </w:p>
        </w:tc>
        <w:tc>
          <w:tcPr>
            <w:tcW w:type="dxa" w:w="11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~131</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10.2</w:t>
            </w:r>
          </w:p>
        </w:tc>
        <w:tc>
          <w:tcPr>
            <w:tcW w:type="dxa" w:w="18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89.8</w:t>
            </w:r>
          </w:p>
        </w:tc>
        <w:tc>
          <w:tcPr>
            <w:tcW w:type="dxa" w:w="16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83.4</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Wireless Earbuds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~468</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~572</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8.21</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91.8</w:t>
            </w:r>
          </w:p>
        </w:tc>
        <w:tc>
          <w:tcPr>
            <w:tcW w:type="dxa" w:w="1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90.3</w:t>
            </w:r>
          </w:p>
        </w:tc>
      </w:tr>
      <w:tr>
        <w:tc>
          <w:tcPr>
            <w:tcW w:type="dxa" w:w="2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Tablet X</w:t>
            </w:r>
          </w:p>
        </w:tc>
        <w:tc>
          <w:tcPr>
            <w:tcW w:type="dxa" w:w="11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~196</w:t>
            </w:r>
          </w:p>
        </w:tc>
        <w:tc>
          <w:tcPr>
            <w:tcW w:type="dxa" w:w="11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~244</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5.86</w:t>
            </w:r>
          </w:p>
        </w:tc>
        <w:tc>
          <w:tcPr>
            <w:tcW w:type="dxa" w:w="18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94.1</w:t>
            </w:r>
          </w:p>
        </w:tc>
        <w:tc>
          <w:tcPr>
            <w:tcW w:type="dxa" w:w="16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86.8</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Smart TV 4K</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~95</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~118</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3.93</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96.1</w:t>
            </w:r>
          </w:p>
        </w:tc>
        <w:tc>
          <w:tcPr>
            <w:tcW w:type="dxa" w:w="1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91.9</w:t>
            </w:r>
          </w:p>
        </w:tc>
      </w:tr>
      <w:tr>
        <w:tc>
          <w:tcPr>
            <w:tcW w:type="dxa" w:w="2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Gaming Console</w:t>
            </w:r>
          </w:p>
        </w:tc>
        <w:tc>
          <w:tcPr>
            <w:tcW w:type="dxa" w:w="11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~68</w:t>
            </w:r>
          </w:p>
        </w:tc>
        <w:tc>
          <w:tcPr>
            <w:tcW w:type="dxa" w:w="11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~85</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9.92</w:t>
            </w:r>
          </w:p>
        </w:tc>
        <w:tc>
          <w:tcPr>
            <w:tcW w:type="dxa" w:w="18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90.1</w:t>
            </w:r>
          </w:p>
        </w:tc>
        <w:tc>
          <w:tcPr>
            <w:tcW w:type="dxa" w:w="16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83.4</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Smartwatch</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~256</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~315</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14.6</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85.4</w:t>
            </w:r>
          </w:p>
        </w:tc>
        <w:tc>
          <w:tcPr>
            <w:tcW w:type="dxa" w:w="1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75.1</w:t>
            </w:r>
          </w:p>
        </w:tc>
      </w:tr>
      <w:tr>
        <w:tc>
          <w:tcPr>
            <w:tcW w:type="dxa" w:w="2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Power Bank</w:t>
            </w:r>
          </w:p>
        </w:tc>
        <w:tc>
          <w:tcPr>
            <w:tcW w:type="dxa" w:w="11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~518</w:t>
            </w:r>
          </w:p>
        </w:tc>
        <w:tc>
          <w:tcPr>
            <w:tcW w:type="dxa" w:w="11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~646</w:t>
            </w:r>
          </w:p>
        </w:tc>
        <w:tc>
          <w:tcPr>
            <w:tcW w:type="dxa" w:w="12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7.92</w:t>
            </w:r>
          </w:p>
        </w:tc>
        <w:tc>
          <w:tcPr>
            <w:tcW w:type="dxa" w:w="18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92.1</w:t>
            </w:r>
          </w:p>
        </w:tc>
        <w:tc>
          <w:tcPr>
            <w:tcW w:type="dxa" w:w="1626"/>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rFonts w:ascii="Arial" w:cs="Arial" w:eastAsia="Arial" w:hAnsi="Arial"/>
                <w:color w:val="2C2C2C"/>
                <w:sz w:val="20"/>
                <w:szCs w:val="20"/>
              </w:rPr>
              <w:t xml:space="preserve">84.5</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AVERAGE</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c>
          <w:tcPr>
            <w:tcW w:type="dxa" w:w="11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8.8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91.2</w:t>
            </w:r>
          </w:p>
        </w:tc>
        <w:tc>
          <w:tcPr>
            <w:tcW w:type="dxa" w:w="1626"/>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85.0</w:t>
            </w:r>
          </w:p>
        </w:tc>
      </w:tr>
    </w:tbl>
    <w:p>
      <w:pPr>
        <w:spacing w:before="200"/>
      </w:pPr>
      <w:r>
        <w:t xml:space="preserve"/>
      </w:r>
    </w:p>
    <w:p>
      <w:pPr>
        <w:pStyle w:val="Heading2"/>
        <w:spacing w:after="120" w:before="240"/>
      </w:pPr>
      <w:r>
        <w:rPr>
          <w:rFonts w:ascii="Arial" w:cs="Arial" w:eastAsia="Arial" w:hAnsi="Arial"/>
          <w:b/>
          <w:bCs/>
          <w:color w:val="2E75B6"/>
          <w:sz w:val="26"/>
          <w:szCs w:val="26"/>
        </w:rPr>
        <w:t xml:space="preserve">4.5 How ML Enhances Decision-Making</w:t>
      </w:r>
    </w:p>
    <w:p>
      <w:pPr>
        <w:pStyle w:val="ListParagraph"/>
        <w:numPr>
          <w:ilvl w:val="0"/>
          <w:numId w:val="2"/>
        </w:numPr>
        <w:spacing w:after="80"/>
      </w:pPr>
      <w:r>
        <w:rPr>
          <w:rFonts w:ascii="Arial" w:cs="Arial" w:eastAsia="Arial" w:hAnsi="Arial"/>
          <w:color w:val="2C2C2C"/>
          <w:sz w:val="22"/>
          <w:szCs w:val="22"/>
        </w:rPr>
        <w:t xml:space="preserve">Accuracy gain: 91.2% vs 85.0% average accuracy — a +6.2 percentage point improvement over manual forecasting, directly reducing inventory imbalances.</w:t>
      </w:r>
    </w:p>
    <w:p>
      <w:pPr>
        <w:pStyle w:val="ListParagraph"/>
        <w:numPr>
          <w:ilvl w:val="0"/>
          <w:numId w:val="2"/>
        </w:numPr>
        <w:spacing w:after="80"/>
      </w:pPr>
      <w:r>
        <w:rPr>
          <w:rFonts w:ascii="Arial" w:cs="Arial" w:eastAsia="Arial" w:hAnsi="Arial"/>
          <w:color w:val="2C2C2C"/>
          <w:sz w:val="22"/>
          <w:szCs w:val="22"/>
        </w:rPr>
        <w:t xml:space="preserve">Reduced overstocking: More accurate forecasts prevent purchasing excess inventory during non-peak months, lowering holding costs.</w:t>
      </w:r>
    </w:p>
    <w:p>
      <w:pPr>
        <w:pStyle w:val="ListParagraph"/>
        <w:numPr>
          <w:ilvl w:val="0"/>
          <w:numId w:val="2"/>
        </w:numPr>
        <w:spacing w:after="80"/>
      </w:pPr>
      <w:r>
        <w:rPr>
          <w:rFonts w:ascii="Arial" w:cs="Arial" w:eastAsia="Arial" w:hAnsi="Arial"/>
          <w:color w:val="2C2C2C"/>
          <w:sz w:val="22"/>
          <w:szCs w:val="22"/>
        </w:rPr>
        <w:t xml:space="preserve">Stockout prevention: Accurate peak-season forecasts (Diwali, New Year) enable timely procurement and prevent revenue loss from stockouts.</w:t>
      </w:r>
    </w:p>
    <w:p>
      <w:pPr>
        <w:pStyle w:val="ListParagraph"/>
        <w:numPr>
          <w:ilvl w:val="0"/>
          <w:numId w:val="2"/>
        </w:numPr>
        <w:spacing w:after="80"/>
      </w:pPr>
      <w:r>
        <w:rPr>
          <w:rFonts w:ascii="Arial" w:cs="Arial" w:eastAsia="Arial" w:hAnsi="Arial"/>
          <w:color w:val="2C2C2C"/>
          <w:sz w:val="22"/>
          <w:szCs w:val="22"/>
        </w:rPr>
        <w:t xml:space="preserve">Festival detection: The is_festive and is_new_year flags allow the model to automatically anticipate and plan for demand spikes without human intervention.</w:t>
      </w:r>
    </w:p>
    <w:p>
      <w:pPr>
        <w:pStyle w:val="ListParagraph"/>
        <w:numPr>
          <w:ilvl w:val="0"/>
          <w:numId w:val="2"/>
        </w:numPr>
        <w:spacing w:after="80"/>
      </w:pPr>
      <w:r>
        <w:rPr>
          <w:rFonts w:ascii="Arial" w:cs="Arial" w:eastAsia="Arial" w:hAnsi="Arial"/>
          <w:color w:val="2C2C2C"/>
          <w:sz w:val="22"/>
          <w:szCs w:val="22"/>
        </w:rPr>
        <w:t xml:space="preserve">Scalability: New products can be added by simply appending records to the CSV and re-running train_model.py — no model redesign required.</w:t>
      </w:r>
    </w:p>
    <w:p>
      <w:pPr>
        <w:spacing w:after="0"/>
      </w:pPr>
      <w:r>
        <w:br w:type="page"/>
      </w:r>
    </w:p>
    <w:p>
      <w:pPr>
        <w:pStyle w:val="Heading1"/>
        <w:pBdr>
          <w:bottom w:val="single" w:color="2E75B6" w:sz="8" w:space="4"/>
        </w:pBdr>
        <w:spacing w:after="160" w:before="360"/>
      </w:pPr>
      <w:r>
        <w:rPr>
          <w:rFonts w:ascii="Arial" w:cs="Arial" w:eastAsia="Arial" w:hAnsi="Arial"/>
          <w:b/>
          <w:bCs/>
          <w:color w:val="1F3A6E"/>
          <w:sz w:val="32"/>
          <w:szCs w:val="32"/>
        </w:rPr>
        <w:t xml:space="preserve">5. Key Insights from the Dashboard</w:t>
      </w:r>
    </w:p>
    <w:p>
      <w:pPr>
        <w:pStyle w:val="Heading2"/>
        <w:spacing w:after="120" w:before="240"/>
      </w:pPr>
      <w:r>
        <w:rPr>
          <w:rFonts w:ascii="Arial" w:cs="Arial" w:eastAsia="Arial" w:hAnsi="Arial"/>
          <w:b/>
          <w:bCs/>
          <w:color w:val="2E75B6"/>
          <w:sz w:val="26"/>
          <w:szCs w:val="26"/>
        </w:rPr>
        <w:t xml:space="preserve">5.1 Demand Insights</w:t>
      </w:r>
    </w:p>
    <w:p>
      <w:pPr>
        <w:pStyle w:val="ListParagraph"/>
        <w:numPr>
          <w:ilvl w:val="0"/>
          <w:numId w:val="2"/>
        </w:numPr>
        <w:spacing w:after="80"/>
      </w:pPr>
      <w:r>
        <w:rPr>
          <w:rFonts w:ascii="Arial" w:cs="Arial" w:eastAsia="Arial" w:hAnsi="Arial"/>
          <w:color w:val="2C2C2C"/>
          <w:sz w:val="22"/>
          <w:szCs w:val="22"/>
        </w:rPr>
        <w:t xml:space="preserve">Total demand grew at an average compound monthly rate of approximately 0.7% across the portfolio, driven mainly by Smartwatch (+1.5%/month) and Wireless Earbuds (+1.2%/month).</w:t>
      </w:r>
    </w:p>
    <w:p>
      <w:pPr>
        <w:pStyle w:val="ListParagraph"/>
        <w:numPr>
          <w:ilvl w:val="0"/>
          <w:numId w:val="2"/>
        </w:numPr>
        <w:spacing w:after="80"/>
      </w:pPr>
      <w:r>
        <w:rPr>
          <w:rFonts w:ascii="Arial" w:cs="Arial" w:eastAsia="Arial" w:hAnsi="Arial"/>
          <w:color w:val="2C2C2C"/>
          <w:sz w:val="22"/>
          <w:szCs w:val="22"/>
        </w:rPr>
        <w:t xml:space="preserve">October and November are consistently the highest-demand months across all products, contributing approximately 35% more units than the annual average — driven by Diwali and post-Diwali sales.</w:t>
      </w:r>
    </w:p>
    <w:p>
      <w:pPr>
        <w:pStyle w:val="ListParagraph"/>
        <w:numPr>
          <w:ilvl w:val="0"/>
          <w:numId w:val="2"/>
        </w:numPr>
        <w:spacing w:after="80"/>
      </w:pPr>
      <w:r>
        <w:rPr>
          <w:rFonts w:ascii="Arial" w:cs="Arial" w:eastAsia="Arial" w:hAnsi="Arial"/>
          <w:color w:val="2C2C2C"/>
          <w:sz w:val="22"/>
          <w:szCs w:val="22"/>
        </w:rPr>
        <w:t xml:space="preserve">The South region accounts for the largest demand share (40%), followed by North (35%) and West (25%) — suggesting greater supply chain investment is warranted in the South.</w:t>
      </w:r>
    </w:p>
    <w:p>
      <w:pPr>
        <w:pStyle w:val="ListParagraph"/>
        <w:numPr>
          <w:ilvl w:val="0"/>
          <w:numId w:val="2"/>
        </w:numPr>
        <w:spacing w:after="80"/>
      </w:pPr>
      <w:r>
        <w:rPr>
          <w:rFonts w:ascii="Arial" w:cs="Arial" w:eastAsia="Arial" w:hAnsi="Arial"/>
          <w:color w:val="2C2C2C"/>
          <w:sz w:val="22"/>
          <w:szCs w:val="22"/>
        </w:rPr>
        <w:t xml:space="preserve">Power Bank and Wireless Earbuds are the highest-volume products by units, while Laptop Pro and Smart TV 4K generate the highest revenue per unit.</w:t>
      </w:r>
    </w:p>
    <w:p>
      <w:pPr>
        <w:pStyle w:val="Heading2"/>
        <w:spacing w:after="120" w:before="240"/>
      </w:pPr>
      <w:r>
        <w:rPr>
          <w:rFonts w:ascii="Arial" w:cs="Arial" w:eastAsia="Arial" w:hAnsi="Arial"/>
          <w:b/>
          <w:bCs/>
          <w:color w:val="2E75B6"/>
          <w:sz w:val="26"/>
          <w:szCs w:val="26"/>
        </w:rPr>
        <w:t xml:space="preserve">5.2 Forecasting Insights</w:t>
      </w:r>
    </w:p>
    <w:p>
      <w:pPr>
        <w:pStyle w:val="ListParagraph"/>
        <w:numPr>
          <w:ilvl w:val="0"/>
          <w:numId w:val="2"/>
        </w:numPr>
        <w:spacing w:after="80"/>
      </w:pPr>
      <w:r>
        <w:rPr>
          <w:rFonts w:ascii="Arial" w:cs="Arial" w:eastAsia="Arial" w:hAnsi="Arial"/>
          <w:color w:val="2C2C2C"/>
          <w:sz w:val="22"/>
          <w:szCs w:val="22"/>
        </w:rPr>
        <w:t xml:space="preserve">Manual forecasting consistently overestimates demand by approximately 5% on average due to human optimism bias, leading to excess inventory and elevated holding costs.</w:t>
      </w:r>
    </w:p>
    <w:p>
      <w:pPr>
        <w:pStyle w:val="ListParagraph"/>
        <w:numPr>
          <w:ilvl w:val="0"/>
          <w:numId w:val="2"/>
        </w:numPr>
        <w:spacing w:after="80"/>
      </w:pPr>
      <w:r>
        <w:rPr>
          <w:rFonts w:ascii="Arial" w:cs="Arial" w:eastAsia="Arial" w:hAnsi="Arial"/>
          <w:color w:val="2C2C2C"/>
          <w:sz w:val="22"/>
          <w:szCs w:val="22"/>
        </w:rPr>
        <w:t xml:space="preserve">Smartwatch shows the largest accuracy improvement (+10.2%) from ML, as its fast growth trend is difficult to track manually but easily captured by lag features and trend index.</w:t>
      </w:r>
    </w:p>
    <w:p>
      <w:pPr>
        <w:pStyle w:val="ListParagraph"/>
        <w:numPr>
          <w:ilvl w:val="0"/>
          <w:numId w:val="2"/>
        </w:numPr>
        <w:spacing w:after="80"/>
      </w:pPr>
      <w:r>
        <w:rPr>
          <w:rFonts w:ascii="Arial" w:cs="Arial" w:eastAsia="Arial" w:hAnsi="Arial"/>
          <w:color w:val="2C2C2C"/>
          <w:sz w:val="22"/>
          <w:szCs w:val="22"/>
        </w:rPr>
        <w:t xml:space="preserve">Smart TV 4K achieves the highest ML accuracy (96.1%) because its demand is more predictable with clear Diwali seasonality and slower growth.</w:t>
      </w:r>
    </w:p>
    <w:p>
      <w:pPr>
        <w:pStyle w:val="ListParagraph"/>
        <w:numPr>
          <w:ilvl w:val="0"/>
          <w:numId w:val="2"/>
        </w:numPr>
        <w:spacing w:after="80"/>
      </w:pPr>
      <w:r>
        <w:rPr>
          <w:rFonts w:ascii="Arial" w:cs="Arial" w:eastAsia="Arial" w:hAnsi="Arial"/>
          <w:color w:val="2C2C2C"/>
          <w:sz w:val="22"/>
          <w:szCs w:val="22"/>
        </w:rPr>
        <w:t xml:space="preserve">The 6-month forward forecast predicts continued demand growth across all products in 2025, with January 2025 seeing the highest forecasted demand due to New Year seasonality.</w:t>
      </w:r>
    </w:p>
    <w:p>
      <w:pPr>
        <w:pStyle w:val="Heading2"/>
        <w:spacing w:after="120" w:before="240"/>
      </w:pPr>
      <w:r>
        <w:rPr>
          <w:rFonts w:ascii="Arial" w:cs="Arial" w:eastAsia="Arial" w:hAnsi="Arial"/>
          <w:b/>
          <w:bCs/>
          <w:color w:val="2E75B6"/>
          <w:sz w:val="26"/>
          <w:szCs w:val="26"/>
        </w:rPr>
        <w:t xml:space="preserve">5.3 Inventory Insights</w:t>
      </w:r>
    </w:p>
    <w:p>
      <w:pPr>
        <w:pStyle w:val="ListParagraph"/>
        <w:numPr>
          <w:ilvl w:val="0"/>
          <w:numId w:val="2"/>
        </w:numPr>
        <w:spacing w:after="80"/>
      </w:pPr>
      <w:r>
        <w:rPr>
          <w:rFonts w:ascii="Arial" w:cs="Arial" w:eastAsia="Arial" w:hAnsi="Arial"/>
          <w:color w:val="2C2C2C"/>
          <w:sz w:val="22"/>
          <w:szCs w:val="22"/>
        </w:rPr>
        <w:t xml:space="preserve">Products with the most volatile demand (Smartwatch, Gaming Console) show the highest stockout frequency, indicating current reorder points may be set too low.</w:t>
      </w:r>
    </w:p>
    <w:p>
      <w:pPr>
        <w:pStyle w:val="ListParagraph"/>
        <w:numPr>
          <w:ilvl w:val="0"/>
          <w:numId w:val="2"/>
        </w:numPr>
        <w:spacing w:after="80"/>
      </w:pPr>
      <w:r>
        <w:rPr>
          <w:rFonts w:ascii="Arial" w:cs="Arial" w:eastAsia="Arial" w:hAnsi="Arial"/>
          <w:color w:val="2C2C2C"/>
          <w:sz w:val="22"/>
          <w:szCs w:val="22"/>
        </w:rPr>
        <w:t xml:space="preserve">Holding cost analysis reveals that Power Bank and Wireless Earbuds — due to high volumes — incur the largest absolute holding costs, suggesting leaner safety stocks could improve working capital.</w:t>
      </w:r>
    </w:p>
    <w:p>
      <w:pPr>
        <w:pStyle w:val="ListParagraph"/>
        <w:numPr>
          <w:ilvl w:val="0"/>
          <w:numId w:val="2"/>
        </w:numPr>
        <w:spacing w:after="80"/>
      </w:pPr>
      <w:r>
        <w:rPr>
          <w:rFonts w:ascii="Arial" w:cs="Arial" w:eastAsia="Arial" w:hAnsi="Arial"/>
          <w:color w:val="2C2C2C"/>
          <w:sz w:val="22"/>
          <w:szCs w:val="22"/>
        </w:rPr>
        <w:t xml:space="preserve">Order fill rate consistently exceeds 95% for most products except during October–November, where demand spikes outpace available stock, confirming the need for better festive-season demand planning.</w:t>
      </w:r>
    </w:p>
    <w:p>
      <w:pPr>
        <w:spacing w:after="0"/>
      </w:pPr>
      <w:r>
        <w:br w:type="page"/>
      </w:r>
    </w:p>
    <w:p>
      <w:pPr>
        <w:pStyle w:val="Heading1"/>
        <w:pBdr>
          <w:bottom w:val="single" w:color="2E75B6" w:sz="8" w:space="4"/>
        </w:pBdr>
        <w:spacing w:after="160" w:before="360"/>
      </w:pPr>
      <w:r>
        <w:rPr>
          <w:rFonts w:ascii="Arial" w:cs="Arial" w:eastAsia="Arial" w:hAnsi="Arial"/>
          <w:b/>
          <w:bCs/>
          <w:color w:val="1F3A6E"/>
          <w:sz w:val="32"/>
          <w:szCs w:val="32"/>
        </w:rPr>
        <w:t xml:space="preserve">6. Conclusion and Future Work</w:t>
      </w:r>
    </w:p>
    <w:p>
      <w:pPr>
        <w:pStyle w:val="Heading2"/>
        <w:spacing w:after="120" w:before="240"/>
      </w:pPr>
      <w:r>
        <w:rPr>
          <w:rFonts w:ascii="Arial" w:cs="Arial" w:eastAsia="Arial" w:hAnsi="Arial"/>
          <w:b/>
          <w:bCs/>
          <w:color w:val="2E75B6"/>
          <w:sz w:val="26"/>
          <w:szCs w:val="26"/>
        </w:rPr>
        <w:t xml:space="preserve">6.1 Conclusion</w:t>
      </w:r>
    </w:p>
    <w:p>
      <w:pPr>
        <w:spacing w:after="120"/>
        <w:jc w:val="both"/>
      </w:pPr>
      <w:r>
        <w:rPr>
          <w:rFonts w:ascii="Arial" w:cs="Arial" w:eastAsia="Arial" w:hAnsi="Arial"/>
          <w:color w:val="2C2C2C"/>
          <w:sz w:val="22"/>
          <w:szCs w:val="22"/>
        </w:rPr>
        <w:t xml:space="preserve">This project demonstrates that replacing manual demand forecasting with a Random Forest ML model meaningfully improves supply chain performance for NexaChain Electronics. The interactive Streamlit dashboard provides supply chain managers with five integrated views — from executive KPIs to per-product forecast accuracy — enabling data-driven decisions on procurement, inventory, and resource allocation. The solution is scalable, requires no proprietary software, and can be extended to additional products or time horizons without structural changes.</w:t>
      </w:r>
    </w:p>
    <w:p>
      <w:pPr>
        <w:pStyle w:val="Heading2"/>
        <w:spacing w:after="120" w:before="240"/>
      </w:pPr>
      <w:r>
        <w:rPr>
          <w:rFonts w:ascii="Arial" w:cs="Arial" w:eastAsia="Arial" w:hAnsi="Arial"/>
          <w:b/>
          <w:bCs/>
          <w:color w:val="2E75B6"/>
          <w:sz w:val="26"/>
          <w:szCs w:val="26"/>
        </w:rPr>
        <w:t xml:space="preserve">6.2 Limitations</w:t>
      </w:r>
    </w:p>
    <w:p>
      <w:pPr>
        <w:pStyle w:val="ListParagraph"/>
        <w:numPr>
          <w:ilvl w:val="0"/>
          <w:numId w:val="2"/>
        </w:numPr>
        <w:spacing w:after="80"/>
      </w:pPr>
      <w:r>
        <w:rPr>
          <w:rFonts w:ascii="Arial" w:cs="Arial" w:eastAsia="Arial" w:hAnsi="Arial"/>
          <w:color w:val="2C2C2C"/>
          <w:sz w:val="22"/>
          <w:szCs w:val="22"/>
        </w:rPr>
        <w:t xml:space="preserve">The dataset is synthetically generated. Real-world implementation would require ingestion from ERP or POS systems.</w:t>
      </w:r>
    </w:p>
    <w:p>
      <w:pPr>
        <w:pStyle w:val="ListParagraph"/>
        <w:numPr>
          <w:ilvl w:val="0"/>
          <w:numId w:val="2"/>
        </w:numPr>
        <w:spacing w:after="80"/>
      </w:pPr>
      <w:r>
        <w:rPr>
          <w:rFonts w:ascii="Arial" w:cs="Arial" w:eastAsia="Arial" w:hAnsi="Arial"/>
          <w:color w:val="2C2C2C"/>
          <w:sz w:val="22"/>
          <w:szCs w:val="22"/>
        </w:rPr>
        <w:t xml:space="preserve">External shocks (supply chain disruptions, geopolitical events) are not modelled in the current version.</w:t>
      </w:r>
    </w:p>
    <w:p>
      <w:pPr>
        <w:pStyle w:val="ListParagraph"/>
        <w:numPr>
          <w:ilvl w:val="0"/>
          <w:numId w:val="2"/>
        </w:numPr>
        <w:spacing w:after="80"/>
      </w:pPr>
      <w:r>
        <w:rPr>
          <w:rFonts w:ascii="Arial" w:cs="Arial" w:eastAsia="Arial" w:hAnsi="Arial"/>
          <w:color w:val="2C2C2C"/>
          <w:sz w:val="22"/>
          <w:szCs w:val="22"/>
        </w:rPr>
        <w:t xml:space="preserve">The forecast horizon is limited to 6 months; longer horizons would require additional validation.</w:t>
      </w:r>
    </w:p>
    <w:p>
      <w:pPr>
        <w:pStyle w:val="Heading2"/>
        <w:spacing w:after="120" w:before="240"/>
      </w:pPr>
      <w:r>
        <w:rPr>
          <w:rFonts w:ascii="Arial" w:cs="Arial" w:eastAsia="Arial" w:hAnsi="Arial"/>
          <w:b/>
          <w:bCs/>
          <w:color w:val="2E75B6"/>
          <w:sz w:val="26"/>
          <w:szCs w:val="26"/>
        </w:rPr>
        <w:t xml:space="preserve">6.3 Future Improvements</w:t>
      </w:r>
    </w:p>
    <w:p>
      <w:pPr>
        <w:pStyle w:val="ListParagraph"/>
        <w:numPr>
          <w:ilvl w:val="0"/>
          <w:numId w:val="2"/>
        </w:numPr>
        <w:spacing w:after="80"/>
      </w:pPr>
      <w:r>
        <w:rPr>
          <w:rFonts w:ascii="Arial" w:cs="Arial" w:eastAsia="Arial" w:hAnsi="Arial"/>
          <w:color w:val="2C2C2C"/>
          <w:sz w:val="22"/>
          <w:szCs w:val="22"/>
        </w:rPr>
        <w:t xml:space="preserve">Integrate real-time data via ERP API (SAP, Oracle SCM) for live forecasting.</w:t>
      </w:r>
    </w:p>
    <w:p>
      <w:pPr>
        <w:pStyle w:val="ListParagraph"/>
        <w:numPr>
          <w:ilvl w:val="0"/>
          <w:numId w:val="2"/>
        </w:numPr>
        <w:spacing w:after="80"/>
      </w:pPr>
      <w:r>
        <w:rPr>
          <w:rFonts w:ascii="Arial" w:cs="Arial" w:eastAsia="Arial" w:hAnsi="Arial"/>
          <w:color w:val="2C2C2C"/>
          <w:sz w:val="22"/>
          <w:szCs w:val="22"/>
        </w:rPr>
        <w:t xml:space="preserve">Add LSTM / Prophet models as ensemble members to improve accuracy for fast-growing products.</w:t>
      </w:r>
    </w:p>
    <w:p>
      <w:pPr>
        <w:pStyle w:val="ListParagraph"/>
        <w:numPr>
          <w:ilvl w:val="0"/>
          <w:numId w:val="2"/>
        </w:numPr>
        <w:spacing w:after="80"/>
      </w:pPr>
      <w:r>
        <w:rPr>
          <w:rFonts w:ascii="Arial" w:cs="Arial" w:eastAsia="Arial" w:hAnsi="Arial"/>
          <w:color w:val="2C2C2C"/>
          <w:sz w:val="22"/>
          <w:szCs w:val="22"/>
        </w:rPr>
        <w:t xml:space="preserve">Incorporate external signals: commodity prices, competitor launches, macroeconomic indices.</w:t>
      </w:r>
    </w:p>
    <w:p>
      <w:pPr>
        <w:pStyle w:val="ListParagraph"/>
        <w:numPr>
          <w:ilvl w:val="0"/>
          <w:numId w:val="2"/>
        </w:numPr>
        <w:spacing w:after="80"/>
      </w:pPr>
      <w:r>
        <w:rPr>
          <w:rFonts w:ascii="Arial" w:cs="Arial" w:eastAsia="Arial" w:hAnsi="Arial"/>
          <w:color w:val="2C2C2C"/>
          <w:sz w:val="22"/>
          <w:szCs w:val="22"/>
        </w:rPr>
        <w:t xml:space="preserve">Develop automated reorder suggestion engine that triggers procurement orders when closing stock falls below ML-predicted demand for the next month.</w:t>
      </w:r>
    </w:p>
    <w:p>
      <w:pPr>
        <w:pStyle w:val="ListParagraph"/>
        <w:numPr>
          <w:ilvl w:val="0"/>
          <w:numId w:val="2"/>
        </w:numPr>
        <w:spacing w:after="80"/>
      </w:pPr>
      <w:r>
        <w:rPr>
          <w:rFonts w:ascii="Arial" w:cs="Arial" w:eastAsia="Arial" w:hAnsi="Arial"/>
          <w:color w:val="2C2C2C"/>
          <w:sz w:val="22"/>
          <w:szCs w:val="22"/>
        </w:rPr>
        <w:t xml:space="preserve">Extend regional granularity to city-level for more precise last-mile distribution planning.</w:t>
      </w:r>
    </w:p>
    <w:p>
      <w:pPr>
        <w:spacing w:before="300"/>
      </w:pPr>
      <w:r>
        <w:t xml:space="preserve"/>
      </w:r>
    </w:p>
    <w:p>
      <w:pPr>
        <w:pStyle w:val="Heading1"/>
        <w:pBdr>
          <w:bottom w:val="single" w:color="2E75B6" w:sz="8" w:space="4"/>
        </w:pBdr>
        <w:spacing w:after="160" w:before="360"/>
      </w:pPr>
      <w:r>
        <w:rPr>
          <w:rFonts w:ascii="Arial" w:cs="Arial" w:eastAsia="Arial" w:hAnsi="Arial"/>
          <w:b/>
          <w:bCs/>
          <w:color w:val="1F3A6E"/>
          <w:sz w:val="32"/>
          <w:szCs w:val="32"/>
        </w:rPr>
        <w:t xml:space="preserve">7. References</w:t>
      </w:r>
    </w:p>
    <w:p>
      <w:pPr>
        <w:pStyle w:val="ListParagraph"/>
        <w:numPr>
          <w:ilvl w:val="0"/>
          <w:numId w:val="3"/>
        </w:numPr>
        <w:spacing w:after="80"/>
      </w:pPr>
      <w:r>
        <w:rPr>
          <w:rFonts w:ascii="Arial" w:cs="Arial" w:eastAsia="Arial" w:hAnsi="Arial"/>
          <w:color w:val="2C2C2C"/>
          <w:sz w:val="22"/>
          <w:szCs w:val="22"/>
        </w:rPr>
        <w:t xml:space="preserve">ThoughtSpot (2024). Supply Chain KPIs and Metrics for Dashboard. thoughtspot.com/data-trends/dashboard/supply-chain-kpis-metrics-for-dashboard</w:t>
      </w:r>
    </w:p>
    <w:p>
      <w:pPr>
        <w:pStyle w:val="ListParagraph"/>
        <w:numPr>
          <w:ilvl w:val="0"/>
          <w:numId w:val="3"/>
        </w:numPr>
        <w:spacing w:after="80"/>
      </w:pPr>
      <w:r>
        <w:rPr>
          <w:rFonts w:ascii="Arial" w:cs="Arial" w:eastAsia="Arial" w:hAnsi="Arial"/>
          <w:color w:val="2C2C2C"/>
          <w:sz w:val="22"/>
          <w:szCs w:val="22"/>
        </w:rPr>
        <w:t xml:space="preserve">Supply Chain Digital (2024). Seven Key Features of Effective Supply Chain Dashboards. supplychaindigital.com</w:t>
      </w:r>
    </w:p>
    <w:p>
      <w:pPr>
        <w:pStyle w:val="ListParagraph"/>
        <w:numPr>
          <w:ilvl w:val="0"/>
          <w:numId w:val="3"/>
        </w:numPr>
        <w:spacing w:after="80"/>
      </w:pPr>
      <w:r>
        <w:rPr>
          <w:rFonts w:ascii="Arial" w:cs="Arial" w:eastAsia="Arial" w:hAnsi="Arial"/>
          <w:color w:val="2C2C2C"/>
          <w:sz w:val="22"/>
          <w:szCs w:val="22"/>
        </w:rPr>
        <w:t xml:space="preserve">Inforiver (2024). Supply Chain KPIs – Inforiver Charts Power BI. inforiver.com/blog/general/supply-chain-kpis-inforiver-charts-powerbi</w:t>
      </w:r>
    </w:p>
    <w:p>
      <w:pPr>
        <w:pStyle w:val="ListParagraph"/>
        <w:numPr>
          <w:ilvl w:val="0"/>
          <w:numId w:val="3"/>
        </w:numPr>
        <w:spacing w:after="80"/>
      </w:pPr>
      <w:r>
        <w:rPr>
          <w:rFonts w:ascii="Arial" w:cs="Arial" w:eastAsia="Arial" w:hAnsi="Arial"/>
          <w:color w:val="2C2C2C"/>
          <w:sz w:val="22"/>
          <w:szCs w:val="22"/>
        </w:rPr>
        <w:t xml:space="preserve">Cashflow Inventory (2024). Demand and Supply Planning KPIs. cashflowinventory.com/blog/demand-and-supply-planning-kpis</w:t>
      </w:r>
    </w:p>
    <w:p>
      <w:pPr>
        <w:pStyle w:val="ListParagraph"/>
        <w:numPr>
          <w:ilvl w:val="0"/>
          <w:numId w:val="3"/>
        </w:numPr>
        <w:spacing w:after="80"/>
      </w:pPr>
      <w:r>
        <w:rPr>
          <w:rFonts w:ascii="Arial" w:cs="Arial" w:eastAsia="Arial" w:hAnsi="Arial"/>
          <w:color w:val="2C2C2C"/>
          <w:sz w:val="22"/>
          <w:szCs w:val="22"/>
        </w:rPr>
        <w:t xml:space="preserve">Pedregosa et al. (2011). Scikit-learn: Machine Learning in Python. JMLR 12, pp. 2825-2830.</w:t>
      </w:r>
    </w:p>
    <w:p>
      <w:pPr>
        <w:pStyle w:val="ListParagraph"/>
        <w:numPr>
          <w:ilvl w:val="0"/>
          <w:numId w:val="3"/>
        </w:numPr>
        <w:spacing w:after="80"/>
      </w:pPr>
      <w:r>
        <w:rPr>
          <w:rFonts w:ascii="Arial" w:cs="Arial" w:eastAsia="Arial" w:hAnsi="Arial"/>
          <w:color w:val="2C2C2C"/>
          <w:sz w:val="22"/>
          <w:szCs w:val="22"/>
        </w:rPr>
        <w:t xml:space="preserve">Breiman, L. (2001). Random Forests. Machine Learning, 45(1), 5-32.</w:t>
      </w:r>
    </w:p>
    <w:p>
      <w:pPr>
        <w:pStyle w:val="ListParagraph"/>
        <w:numPr>
          <w:ilvl w:val="0"/>
          <w:numId w:val="3"/>
        </w:numPr>
        <w:spacing w:after="80"/>
      </w:pPr>
      <w:r>
        <w:rPr>
          <w:rFonts w:ascii="Arial" w:cs="Arial" w:eastAsia="Arial" w:hAnsi="Arial"/>
          <w:color w:val="2C2C2C"/>
          <w:sz w:val="22"/>
          <w:szCs w:val="22"/>
        </w:rPr>
        <w:t xml:space="preserve">Hyndman, R.J. &amp; Athanasopoulos, G. (2021). Forecasting: Principles and Practice (3rd ed). OTexts.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PES University  |  UE23CS342BA1  |  P3 – Forecasting Accuracy  |  Jan–May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NexaChain SCM Dashboard  |  P3 – Forecasting Accuracy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2026-04-19T13:59:54.200Z</dcterms:created>
  <dcterms:modified xsi:type="dcterms:W3CDTF">2026-04-19T13:59:54.200Z</dcterms:modified>
</cp:coreProperties>
</file>

<file path=docProps/custom.xml><?xml version="1.0" encoding="utf-8"?>
<Properties xmlns="http://schemas.openxmlformats.org/officeDocument/2006/custom-properties" xmlns:vt="http://schemas.openxmlformats.org/officeDocument/2006/docPropsVTypes"/>
</file>