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41F" w:rsidRPr="00B1735C" w:rsidRDefault="00C34E0F">
      <w:r w:rsidRPr="00B1735C">
        <w:t>Shagor Rahman</w:t>
      </w:r>
    </w:p>
    <w:p w:rsidR="00C34E0F" w:rsidRPr="00B1735C" w:rsidRDefault="00C34E0F" w:rsidP="00C34E0F">
      <w:pPr>
        <w:spacing w:line="240" w:lineRule="auto"/>
        <w:jc w:val="center"/>
      </w:pPr>
      <w:r w:rsidRPr="00B1735C">
        <w:t>Computer Science Department Ranking &amp;</w:t>
      </w:r>
    </w:p>
    <w:p w:rsidR="00C34E0F" w:rsidRPr="00B1735C" w:rsidRDefault="00C34E0F" w:rsidP="00C34E0F">
      <w:pPr>
        <w:spacing w:line="240" w:lineRule="auto"/>
        <w:jc w:val="center"/>
      </w:pPr>
      <w:r w:rsidRPr="00B1735C">
        <w:t>Urban Growth</w:t>
      </w:r>
    </w:p>
    <w:p w:rsidR="00C34E0F" w:rsidRPr="00B1735C" w:rsidRDefault="00C34E0F" w:rsidP="00C34E0F">
      <w:pPr>
        <w:spacing w:line="480" w:lineRule="auto"/>
        <w:jc w:val="center"/>
      </w:pPr>
    </w:p>
    <w:p w:rsidR="00E3354A" w:rsidRPr="00B1735C" w:rsidRDefault="00E3354A" w:rsidP="00E3354A">
      <w:pPr>
        <w:pStyle w:val="ListParagraph"/>
        <w:numPr>
          <w:ilvl w:val="0"/>
          <w:numId w:val="1"/>
        </w:numPr>
        <w:spacing w:line="480" w:lineRule="auto"/>
      </w:pPr>
      <w:r w:rsidRPr="00B1735C">
        <w:t>Outline</w:t>
      </w:r>
      <w:r w:rsidR="00C34E0F" w:rsidRPr="00B1735C">
        <w:tab/>
      </w:r>
    </w:p>
    <w:p w:rsidR="00B3081E" w:rsidRPr="00B1735C" w:rsidRDefault="00C34E0F" w:rsidP="00C34E0F">
      <w:pPr>
        <w:spacing w:line="480" w:lineRule="auto"/>
      </w:pPr>
      <w:r w:rsidRPr="00B1735C">
        <w:t>Much has been written about skilled labor and the impact this has on urban growth (</w:t>
      </w:r>
      <w:proofErr w:type="spellStart"/>
      <w:r w:rsidRPr="00B1735C">
        <w:t>Glaeser</w:t>
      </w:r>
      <w:proofErr w:type="spellEnd"/>
      <w:r w:rsidRPr="00B1735C">
        <w:t xml:space="preserve"> 2003). Additionally there is increasing debate about the cost and benefit of higher education. </w:t>
      </w:r>
      <w:r w:rsidR="00C95431" w:rsidRPr="00B1735C">
        <w:t>This analysis seeks to</w:t>
      </w:r>
      <w:r w:rsidRPr="00B1735C">
        <w:t xml:space="preserve"> isolate and determine whether a single higher educational ranking, i.e. the ranking of a University’s Computer </w:t>
      </w:r>
      <w:r w:rsidR="00B3081E" w:rsidRPr="00B1735C">
        <w:t>Science Department</w:t>
      </w:r>
      <w:r w:rsidRPr="00B1735C">
        <w:t xml:space="preserve"> (CS), is a causal attribute that alone contributes to growth. </w:t>
      </w:r>
      <w:r w:rsidR="00B3081E" w:rsidRPr="00B1735C">
        <w:t>Cities such as Austin</w:t>
      </w:r>
      <w:r w:rsidR="00A31919" w:rsidRPr="00B1735C">
        <w:t>, TX, and Durham, NC, have recently seen an influx in high tech businesses flocking to attract the highly valued skills the CS programs are producing.</w:t>
      </w:r>
      <w:r w:rsidR="00B3081E" w:rsidRPr="00B1735C">
        <w:t xml:space="preserve"> This has seemingly created a dynamic growth environment in cities that had been in decline, or in some cases missed previous boons generally. </w:t>
      </w:r>
      <w:r w:rsidR="00A31919" w:rsidRPr="00B1735C">
        <w:t xml:space="preserve"> </w:t>
      </w:r>
    </w:p>
    <w:p w:rsidR="00C34E0F" w:rsidRPr="00B1735C" w:rsidRDefault="00A31919" w:rsidP="00C34E0F">
      <w:pPr>
        <w:spacing w:line="480" w:lineRule="auto"/>
      </w:pPr>
      <w:r w:rsidRPr="00B1735C">
        <w:t xml:space="preserve">The change is visible, the impact on municipalities </w:t>
      </w:r>
      <w:r w:rsidR="00B3081E" w:rsidRPr="00B1735C">
        <w:t xml:space="preserve">via tax revenues and employment growth </w:t>
      </w:r>
      <w:r w:rsidRPr="00B1735C">
        <w:t xml:space="preserve">is </w:t>
      </w:r>
      <w:r w:rsidR="00B3081E" w:rsidRPr="00B1735C">
        <w:t>paramount</w:t>
      </w:r>
      <w:r w:rsidRPr="00B1735C">
        <w:t>. In other words</w:t>
      </w:r>
      <w:r w:rsidR="00B3081E" w:rsidRPr="00B1735C">
        <w:t>,</w:t>
      </w:r>
      <w:r w:rsidRPr="00B1735C">
        <w:t xml:space="preserve"> if </w:t>
      </w:r>
      <w:r w:rsidR="00E3354A" w:rsidRPr="00B1735C">
        <w:t xml:space="preserve">we can predict that a University with a highly ranked CS program is predictive in urban growth, would not a municipality give serious consideration to make the required investment in time and resources? </w:t>
      </w:r>
    </w:p>
    <w:p w:rsidR="00C95431" w:rsidRPr="00B1735C" w:rsidRDefault="00C95431" w:rsidP="00C95431">
      <w:pPr>
        <w:pStyle w:val="ListParagraph"/>
        <w:numPr>
          <w:ilvl w:val="0"/>
          <w:numId w:val="1"/>
        </w:numPr>
        <w:spacing w:line="480" w:lineRule="auto"/>
      </w:pPr>
      <w:r w:rsidRPr="00B1735C">
        <w:t>Overview</w:t>
      </w:r>
    </w:p>
    <w:p w:rsidR="00E3354A" w:rsidRPr="00B1735C" w:rsidRDefault="00E3354A" w:rsidP="00C34E0F">
      <w:pPr>
        <w:spacing w:line="480" w:lineRule="auto"/>
      </w:pPr>
      <w:r w:rsidRPr="00B1735C">
        <w:t xml:space="preserve">I have created a few models in order to test this hypothesis. Given the various ways of measuring urban growth I thought it important that a high CS ranking be significant across several measures before warranting a full rejection of the Null Hypothesis. Which here, is that coefficient for the variable = 0. </w:t>
      </w:r>
    </w:p>
    <w:p w:rsidR="00C95431" w:rsidRPr="00B1735C" w:rsidRDefault="00B3081E" w:rsidP="00C34E0F">
      <w:pPr>
        <w:spacing w:line="480" w:lineRule="auto"/>
      </w:pPr>
      <w:r w:rsidRPr="00B1735C">
        <w:lastRenderedPageBreak/>
        <w:t>The dependent</w:t>
      </w:r>
      <w:r w:rsidR="006B698A" w:rsidRPr="00B1735C">
        <w:t xml:space="preserve"> variables used here will be GDP, Income, and E</w:t>
      </w:r>
      <w:r w:rsidR="00401AC1" w:rsidRPr="00B1735C">
        <w:t xml:space="preserve">mployment. All data will be collected at the ‘Metropolitan Statistical Area’ (MSA) level. </w:t>
      </w:r>
      <w:r w:rsidR="006B698A" w:rsidRPr="00B1735C">
        <w:t xml:space="preserve"> </w:t>
      </w:r>
      <w:r w:rsidR="002231D0" w:rsidRPr="00B1735C">
        <w:t xml:space="preserve">  </w:t>
      </w:r>
      <w:r w:rsidR="00C95431" w:rsidRPr="00B1735C">
        <w:t xml:space="preserve">The models are based off the Arellano-Bond estimation approach, a Generalized Method of Moments model specific to models containing </w:t>
      </w:r>
      <w:r w:rsidRPr="00B1735C">
        <w:t xml:space="preserve">dynamic </w:t>
      </w:r>
      <w:r w:rsidR="00C95431" w:rsidRPr="00B1735C">
        <w:t xml:space="preserve">panel data. </w:t>
      </w:r>
      <w:r w:rsidRPr="00B1735C">
        <w:t>The model is such that includes a lag of the dependen</w:t>
      </w:r>
      <w:r w:rsidR="002231D0" w:rsidRPr="00B1735C">
        <w:t xml:space="preserve">t variable as a regressor, and then leverages a lag (at T-2) of both the dependent variable observations and the regressors as instrumental variables to address both heteroscedasticity and autocorrelation. </w:t>
      </w:r>
    </w:p>
    <w:p w:rsidR="00C95431" w:rsidRPr="00B1735C" w:rsidRDefault="000235A1" w:rsidP="00C34E0F">
      <w:pPr>
        <w:spacing w:line="480" w:lineRule="auto"/>
        <w:rPr>
          <w:sz w:val="36"/>
        </w:rPr>
      </w:pPr>
      <m:oMathPara>
        <m:oMath>
          <m:sSubSup>
            <m:sSubSupPr>
              <m:ctrlPr>
                <w:rPr>
                  <w:rFonts w:ascii="Cambria Math" w:hAnsi="Cambria Math"/>
                  <w:i/>
                  <w:sz w:val="36"/>
                </w:rPr>
              </m:ctrlPr>
            </m:sSubSupPr>
            <m:e>
              <m:r>
                <w:rPr>
                  <w:rFonts w:ascii="Cambria Math" w:hAnsi="Cambria Math"/>
                  <w:sz w:val="36"/>
                </w:rPr>
                <m:t>y</m:t>
              </m:r>
            </m:e>
            <m:sub>
              <m:r>
                <w:rPr>
                  <w:rFonts w:ascii="Cambria Math" w:hAnsi="Cambria Math"/>
                  <w:sz w:val="36"/>
                </w:rPr>
                <m:t>it</m:t>
              </m:r>
            </m:sub>
            <m:sup>
              <m:r>
                <w:rPr>
                  <w:rFonts w:ascii="Cambria Math" w:hAnsi="Cambria Math"/>
                  <w:sz w:val="36"/>
                </w:rPr>
                <m:t>*</m:t>
              </m:r>
            </m:sup>
          </m:sSubSup>
          <m:r>
            <w:rPr>
              <w:rFonts w:ascii="Cambria Math" w:hAnsi="Cambria Math"/>
              <w:sz w:val="36"/>
            </w:rPr>
            <m:t>=</m:t>
          </m:r>
          <m:sSup>
            <m:sSupPr>
              <m:ctrlPr>
                <w:rPr>
                  <w:rFonts w:ascii="Cambria Math" w:hAnsi="Cambria Math"/>
                  <w:i/>
                  <w:sz w:val="36"/>
                </w:rPr>
              </m:ctrlPr>
            </m:sSupPr>
            <m:e>
              <m:r>
                <w:rPr>
                  <w:rFonts w:ascii="Cambria Math" w:hAnsi="Cambria Math"/>
                  <w:sz w:val="36"/>
                </w:rPr>
                <m:t>x</m:t>
              </m:r>
            </m:e>
            <m:sup>
              <m:sSup>
                <m:sSupPr>
                  <m:ctrlPr>
                    <w:rPr>
                      <w:rFonts w:ascii="Cambria Math" w:hAnsi="Cambria Math"/>
                      <w:i/>
                      <w:sz w:val="36"/>
                    </w:rPr>
                  </m:ctrlPr>
                </m:sSupPr>
                <m:e>
                  <m:r>
                    <w:rPr>
                      <w:rFonts w:ascii="Cambria Math" w:hAnsi="Cambria Math"/>
                      <w:sz w:val="36"/>
                    </w:rPr>
                    <m:t>*</m:t>
                  </m:r>
                </m:e>
                <m:sup>
                  <m:r>
                    <w:rPr>
                      <w:rFonts w:ascii="Cambria Math" w:hAnsi="Cambria Math"/>
                      <w:sz w:val="36"/>
                    </w:rPr>
                    <m:t>'</m:t>
                  </m:r>
                </m:sup>
              </m:sSup>
            </m:sup>
          </m:sSup>
          <m:r>
            <w:rPr>
              <w:rFonts w:ascii="Cambria Math" w:hAnsi="Cambria Math"/>
              <w:sz w:val="36"/>
            </w:rPr>
            <m:t>θ</m:t>
          </m:r>
          <m:sSubSup>
            <m:sSubSupPr>
              <m:ctrlPr>
                <w:rPr>
                  <w:rFonts w:ascii="Cambria Math" w:hAnsi="Cambria Math"/>
                  <w:i/>
                  <w:sz w:val="36"/>
                </w:rPr>
              </m:ctrlPr>
            </m:sSubSupPr>
            <m:e>
              <m:r>
                <w:rPr>
                  <w:rFonts w:ascii="Cambria Math" w:hAnsi="Cambria Math"/>
                  <w:sz w:val="36"/>
                </w:rPr>
                <m:t>+</m:t>
              </m:r>
            </m:e>
            <m:sub>
              <m:r>
                <w:rPr>
                  <w:rFonts w:ascii="Cambria Math" w:hAnsi="Cambria Math"/>
                  <w:sz w:val="36"/>
                </w:rPr>
                <m:t>it</m:t>
              </m:r>
            </m:sub>
            <m:sup>
              <m:sSup>
                <m:sSupPr>
                  <m:ctrlPr>
                    <w:rPr>
                      <w:rFonts w:ascii="Cambria Math" w:hAnsi="Cambria Math"/>
                      <w:i/>
                      <w:sz w:val="36"/>
                    </w:rPr>
                  </m:ctrlPr>
                </m:sSupPr>
                <m:e>
                  <m:r>
                    <w:rPr>
                      <w:rFonts w:ascii="Cambria Math" w:hAnsi="Cambria Math"/>
                      <w:sz w:val="36"/>
                    </w:rPr>
                    <m:t>ϵ</m:t>
                  </m:r>
                </m:e>
                <m:sup>
                  <m:r>
                    <w:rPr>
                      <w:rFonts w:ascii="Cambria Math" w:hAnsi="Cambria Math"/>
                      <w:sz w:val="36"/>
                    </w:rPr>
                    <m:t>*</m:t>
                  </m:r>
                </m:sup>
              </m:sSup>
            </m:sup>
          </m:sSubSup>
        </m:oMath>
      </m:oMathPara>
    </w:p>
    <w:p w:rsidR="00E3354A" w:rsidRPr="00B1735C" w:rsidRDefault="000235A1" w:rsidP="00C34E0F">
      <w:pPr>
        <w:spacing w:line="480" w:lineRule="auto"/>
      </w:pPr>
      <w:r w:rsidRPr="00B1735C">
        <w:t xml:space="preserve">Where the * indicates the first difference. </w:t>
      </w:r>
    </w:p>
    <w:p w:rsidR="000235A1" w:rsidRPr="00B1735C" w:rsidRDefault="000235A1" w:rsidP="00C34E0F">
      <w:pPr>
        <w:spacing w:line="480" w:lineRule="auto"/>
        <w:rPr>
          <w:rFonts w:eastAsiaTheme="minorEastAsia"/>
        </w:rPr>
      </w:pPr>
      <w:r w:rsidRPr="00B1735C">
        <w:t xml:space="preserve">The estimator of the parameter vector </w:t>
      </w:r>
      <m:oMath>
        <m:r>
          <w:rPr>
            <w:rFonts w:ascii="Cambria Math" w:hAnsi="Cambria Math"/>
          </w:rPr>
          <m:t>θ</m:t>
        </m:r>
      </m:oMath>
      <w:r w:rsidRPr="00B1735C">
        <w:rPr>
          <w:rFonts w:eastAsiaTheme="minorEastAsia"/>
        </w:rPr>
        <w:t xml:space="preserve"> is a matrix weighted average of the T-2 period specific two stage least square estimates</w:t>
      </w:r>
      <w:r w:rsidR="00D962D0" w:rsidRPr="00B1735C">
        <w:rPr>
          <w:rFonts w:eastAsiaTheme="minorEastAsia"/>
        </w:rPr>
        <w:t xml:space="preserve"> (Greene)</w:t>
      </w:r>
      <w:r w:rsidRPr="00B1735C">
        <w:rPr>
          <w:rFonts w:eastAsiaTheme="minorEastAsia"/>
        </w:rPr>
        <w:t xml:space="preserve">. </w:t>
      </w:r>
      <w:r w:rsidR="00401AC1" w:rsidRPr="00B1735C">
        <w:rPr>
          <w:rFonts w:eastAsiaTheme="minorEastAsia"/>
        </w:rPr>
        <w:t>The models in all cases here, using the PLM package, will leverage the ‘</w:t>
      </w:r>
      <w:proofErr w:type="spellStart"/>
      <w:r w:rsidR="00401AC1" w:rsidRPr="00B1735C">
        <w:rPr>
          <w:rFonts w:eastAsiaTheme="minorEastAsia"/>
        </w:rPr>
        <w:t>Twoway</w:t>
      </w:r>
      <w:proofErr w:type="spellEnd"/>
      <w:r w:rsidR="00401AC1" w:rsidRPr="00B1735C">
        <w:rPr>
          <w:rFonts w:eastAsiaTheme="minorEastAsia"/>
        </w:rPr>
        <w:t>’ effect, which leverages the first differences, and also includes time dummies</w:t>
      </w:r>
      <w:r w:rsidR="00D962D0" w:rsidRPr="00B1735C">
        <w:rPr>
          <w:rFonts w:eastAsiaTheme="minorEastAsia"/>
        </w:rPr>
        <w:t xml:space="preserve"> (Croissant and </w:t>
      </w:r>
      <w:proofErr w:type="spellStart"/>
      <w:r w:rsidR="00D962D0" w:rsidRPr="00B1735C">
        <w:rPr>
          <w:rFonts w:eastAsiaTheme="minorEastAsia"/>
        </w:rPr>
        <w:t>Millo</w:t>
      </w:r>
      <w:proofErr w:type="spellEnd"/>
      <w:r w:rsidR="00D962D0" w:rsidRPr="00B1735C">
        <w:rPr>
          <w:rFonts w:eastAsiaTheme="minorEastAsia"/>
        </w:rPr>
        <w:t>)</w:t>
      </w:r>
      <w:r w:rsidR="00401AC1" w:rsidRPr="00B1735C">
        <w:rPr>
          <w:rFonts w:eastAsiaTheme="minorEastAsia"/>
        </w:rPr>
        <w:t xml:space="preserve">.  In order to reject the Null Hypothesis that the coefficient for CS Ranking = 0, we will seek a 95% confidence interval. </w:t>
      </w:r>
    </w:p>
    <w:p w:rsidR="00401AC1" w:rsidRPr="00B1735C" w:rsidRDefault="00401AC1" w:rsidP="00401AC1">
      <w:pPr>
        <w:pStyle w:val="ListParagraph"/>
        <w:numPr>
          <w:ilvl w:val="0"/>
          <w:numId w:val="1"/>
        </w:numPr>
        <w:spacing w:line="480" w:lineRule="auto"/>
        <w:rPr>
          <w:rFonts w:eastAsiaTheme="minorEastAsia"/>
        </w:rPr>
      </w:pPr>
      <w:r w:rsidRPr="00B1735C">
        <w:rPr>
          <w:rFonts w:eastAsiaTheme="minorEastAsia"/>
        </w:rPr>
        <w:t>Data and Model description</w:t>
      </w:r>
    </w:p>
    <w:p w:rsidR="00401AC1" w:rsidRPr="00B1735C" w:rsidRDefault="00401AC1" w:rsidP="00C34E0F">
      <w:pPr>
        <w:spacing w:line="480" w:lineRule="auto"/>
      </w:pPr>
      <w:r w:rsidRPr="00B1735C">
        <w:t xml:space="preserve">Data for this analysis was aggregated from three separate and reputable sources. </w:t>
      </w:r>
      <w:r w:rsidR="00C2396D" w:rsidRPr="00B1735C">
        <w:t xml:space="preserve">All were collected annually from 2010 to 2015. </w:t>
      </w:r>
    </w:p>
    <w:p w:rsidR="00401AC1" w:rsidRPr="00B1735C" w:rsidRDefault="00401AC1" w:rsidP="00C34E0F">
      <w:pPr>
        <w:spacing w:line="480" w:lineRule="auto"/>
      </w:pPr>
      <w:r w:rsidRPr="00B1735C">
        <w:t xml:space="preserve">Cencus.gov – Specifically the ‘American </w:t>
      </w:r>
      <w:proofErr w:type="spellStart"/>
      <w:r w:rsidRPr="00B1735C">
        <w:t>FactFinder</w:t>
      </w:r>
      <w:proofErr w:type="spellEnd"/>
      <w:r w:rsidRPr="00B1735C">
        <w:t>’ which collects survey data on the United States and other areas. This data is broken down at various levels, including MSA. I collect</w:t>
      </w:r>
      <w:r w:rsidR="00C2396D" w:rsidRPr="00B1735C">
        <w:t>ed</w:t>
      </w:r>
      <w:r w:rsidRPr="00B1735C">
        <w:t xml:space="preserve"> General Population Data, Income Per Capita, demographics to calculate the percent of working age population (age 18-64), </w:t>
      </w:r>
      <w:r w:rsidR="00C2396D" w:rsidRPr="00B1735C">
        <w:t xml:space="preserve">Educational Attainment, Native Born Percentage, and industry group classification.  In the last category, </w:t>
      </w:r>
      <w:r w:rsidR="00C2396D" w:rsidRPr="00B1735C">
        <w:lastRenderedPageBreak/>
        <w:t xml:space="preserve">it became clear that the industry group ‘Services’ offered the most significant coefficient so the model isolated this variable. </w:t>
      </w:r>
    </w:p>
    <w:p w:rsidR="00401AC1" w:rsidRPr="00B1735C" w:rsidRDefault="00401AC1" w:rsidP="00C34E0F">
      <w:pPr>
        <w:spacing w:line="480" w:lineRule="auto"/>
      </w:pPr>
      <w:r w:rsidRPr="00B1735C">
        <w:t xml:space="preserve">Bureau of Economic Analysis – From the US Department of Commerce, this data set details Gross Domestic Product </w:t>
      </w:r>
      <w:r w:rsidR="00C2396D" w:rsidRPr="00B1735C">
        <w:t xml:space="preserve">per MSA and an aggregate level. I used the Total Population to calculate per capita equivalents. </w:t>
      </w:r>
    </w:p>
    <w:p w:rsidR="00C2396D" w:rsidRPr="00B1735C" w:rsidRDefault="00C2396D" w:rsidP="00C34E0F">
      <w:pPr>
        <w:spacing w:line="480" w:lineRule="auto"/>
      </w:pPr>
      <w:r w:rsidRPr="00B1735C">
        <w:t xml:space="preserve">Shanghai Rankings – Shanghai Rankings offers current and historical rankings of global universities, both generally and department level.  Its methodology is transparent and recognized as ‘Scientifically sound’ by international observers. I extracted rankings for both Universities overall as well as rankings specific for Computer Science programs. </w:t>
      </w:r>
    </w:p>
    <w:p w:rsidR="001F1215" w:rsidRPr="00B1735C" w:rsidRDefault="001F1215" w:rsidP="00C34E0F">
      <w:pPr>
        <w:spacing w:line="480" w:lineRule="auto"/>
      </w:pPr>
      <w:r w:rsidRPr="00B1735C">
        <w:t xml:space="preserve">Specifically, I extracted ratings from 2015 going back to 2010. </w:t>
      </w:r>
      <w:r w:rsidR="00FC1875" w:rsidRPr="00B1735C">
        <w:t xml:space="preserve">I used ‘200-X’ as the ‘magnitude’ rank. Where X = school rank for the given year. </w:t>
      </w:r>
      <w:r w:rsidRPr="00B1735C">
        <w:t xml:space="preserve">I then added in the MSA code for each school using the Geocoding system from the ‘Federal Financial </w:t>
      </w:r>
      <w:r w:rsidR="00FC1875" w:rsidRPr="00B1735C">
        <w:t xml:space="preserve">Institution Examination Council.’  Finally, I aggregated across unique MSA code and year, so if two schools were located in the same MSA and were both ranked for either category (CS or General) then scores summed. </w:t>
      </w:r>
    </w:p>
    <w:p w:rsidR="00FC1875" w:rsidRPr="00B1735C" w:rsidRDefault="00FC1875" w:rsidP="00C34E0F">
      <w:pPr>
        <w:spacing w:line="480" w:lineRule="auto"/>
      </w:pPr>
    </w:p>
    <w:p w:rsidR="00FC1875" w:rsidRPr="00B1735C" w:rsidRDefault="00FC1875" w:rsidP="00C34E0F">
      <w:pPr>
        <w:spacing w:line="480" w:lineRule="auto"/>
      </w:pPr>
    </w:p>
    <w:p w:rsidR="00FC1875" w:rsidRPr="00B1735C" w:rsidRDefault="00FC1875" w:rsidP="00C34E0F">
      <w:pPr>
        <w:spacing w:line="480" w:lineRule="auto"/>
      </w:pPr>
    </w:p>
    <w:p w:rsidR="00FC1875" w:rsidRPr="00B1735C" w:rsidRDefault="00FC1875" w:rsidP="00C34E0F">
      <w:pPr>
        <w:spacing w:line="480" w:lineRule="auto"/>
      </w:pPr>
    </w:p>
    <w:p w:rsidR="00FC1875" w:rsidRPr="00B1735C" w:rsidRDefault="00FC1875" w:rsidP="00C34E0F">
      <w:pPr>
        <w:spacing w:line="480" w:lineRule="auto"/>
      </w:pPr>
    </w:p>
    <w:p w:rsidR="00FC1875" w:rsidRPr="00B1735C" w:rsidRDefault="00FC1875" w:rsidP="00C34E0F">
      <w:pPr>
        <w:spacing w:line="480" w:lineRule="auto"/>
      </w:pPr>
    </w:p>
    <w:p w:rsidR="00FC1875" w:rsidRPr="00B1735C" w:rsidRDefault="00C23535" w:rsidP="00C34E0F">
      <w:pPr>
        <w:spacing w:line="480" w:lineRule="auto"/>
      </w:pPr>
      <w:r w:rsidRPr="00B1735C">
        <w:lastRenderedPageBreak/>
        <w:t>V</w:t>
      </w:r>
      <w:r w:rsidR="0032370A" w:rsidRPr="00B1735C">
        <w:t xml:space="preserve">ariable Table </w:t>
      </w:r>
    </w:p>
    <w:tbl>
      <w:tblPr>
        <w:tblW w:w="19036" w:type="dxa"/>
        <w:tblLook w:val="04A0" w:firstRow="1" w:lastRow="0" w:firstColumn="1" w:lastColumn="0" w:noHBand="0" w:noVBand="1"/>
      </w:tblPr>
      <w:tblGrid>
        <w:gridCol w:w="9918"/>
        <w:gridCol w:w="2100"/>
        <w:gridCol w:w="7018"/>
      </w:tblGrid>
      <w:tr w:rsidR="006F5BC9" w:rsidRPr="006F5BC9" w:rsidTr="00E10536">
        <w:trPr>
          <w:trHeight w:val="435"/>
        </w:trPr>
        <w:tc>
          <w:tcPr>
            <w:tcW w:w="9918" w:type="dxa"/>
            <w:tcBorders>
              <w:top w:val="nil"/>
              <w:left w:val="nil"/>
              <w:bottom w:val="nil"/>
              <w:right w:val="nil"/>
            </w:tcBorders>
            <w:shd w:val="clear" w:color="auto" w:fill="auto"/>
            <w:noWrap/>
            <w:vAlign w:val="bottom"/>
          </w:tcPr>
          <w:tbl>
            <w:tblPr>
              <w:tblW w:w="4960" w:type="dxa"/>
              <w:tblLook w:val="04A0" w:firstRow="1" w:lastRow="0" w:firstColumn="1" w:lastColumn="0" w:noHBand="0" w:noVBand="1"/>
            </w:tblPr>
            <w:tblGrid>
              <w:gridCol w:w="1900"/>
              <w:gridCol w:w="2100"/>
              <w:gridCol w:w="960"/>
            </w:tblGrid>
            <w:tr w:rsidR="006F5BC9" w:rsidRPr="006F5BC9" w:rsidTr="006F5BC9">
              <w:trPr>
                <w:trHeight w:val="43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5BC9" w:rsidRPr="006F5BC9" w:rsidRDefault="00FC1875" w:rsidP="006F5BC9">
                  <w:pPr>
                    <w:spacing w:after="0" w:line="240" w:lineRule="auto"/>
                    <w:rPr>
                      <w:rFonts w:eastAsia="Times New Roman" w:cs="Times New Roman"/>
                      <w:color w:val="000000"/>
                      <w:sz w:val="20"/>
                    </w:rPr>
                  </w:pPr>
                  <w:r w:rsidRPr="00B1735C">
                    <w:rPr>
                      <w:sz w:val="20"/>
                    </w:rPr>
                    <w:t>ID</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GEO.id2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V1</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FC1875" w:rsidP="006F5BC9">
                  <w:pPr>
                    <w:spacing w:after="0" w:line="240" w:lineRule="auto"/>
                    <w:rPr>
                      <w:rFonts w:eastAsia="Times New Roman" w:cs="Times New Roman"/>
                      <w:color w:val="000000"/>
                      <w:sz w:val="20"/>
                    </w:rPr>
                  </w:pPr>
                  <w:r w:rsidRPr="00B1735C">
                    <w:rPr>
                      <w:rFonts w:eastAsia="Times New Roman" w:cs="Times New Roman"/>
                      <w:color w:val="000000"/>
                      <w:sz w:val="20"/>
                    </w:rPr>
                    <w:t>Year</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Year</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V2</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 </w:t>
                  </w:r>
                  <w:r w:rsidR="00FC1875" w:rsidRPr="00B1735C">
                    <w:rPr>
                      <w:rFonts w:eastAsia="Times New Roman" w:cs="Times New Roman"/>
                      <w:color w:val="000000"/>
                      <w:sz w:val="20"/>
                    </w:rPr>
                    <w:t>MSA Code _ Year</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MSA_YR</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V3</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FC1875" w:rsidP="006F5BC9">
                  <w:pPr>
                    <w:spacing w:after="0" w:line="240" w:lineRule="auto"/>
                    <w:rPr>
                      <w:rFonts w:eastAsia="Times New Roman" w:cs="Times New Roman"/>
                      <w:color w:val="000000"/>
                      <w:sz w:val="20"/>
                    </w:rPr>
                  </w:pPr>
                  <w:r w:rsidRPr="00B1735C">
                    <w:rPr>
                      <w:rFonts w:eastAsia="Times New Roman" w:cs="Times New Roman"/>
                      <w:color w:val="000000"/>
                      <w:sz w:val="20"/>
                    </w:rPr>
                    <w:t>MSA Name</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proofErr w:type="spellStart"/>
                  <w:r w:rsidRPr="006F5BC9">
                    <w:rPr>
                      <w:rFonts w:eastAsia="Times New Roman" w:cs="Times New Roman"/>
                      <w:color w:val="000000"/>
                      <w:sz w:val="20"/>
                    </w:rPr>
                    <w:t>GEO.display</w:t>
                  </w:r>
                  <w:proofErr w:type="spellEnd"/>
                  <w:r w:rsidRPr="006F5BC9">
                    <w:rPr>
                      <w:rFonts w:eastAsia="Times New Roman" w:cs="Times New Roman"/>
                      <w:color w:val="000000"/>
                      <w:sz w:val="20"/>
                    </w:rPr>
                    <w:t>-label</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V4</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FC1875" w:rsidP="006F5BC9">
                  <w:pPr>
                    <w:spacing w:after="0" w:line="240" w:lineRule="auto"/>
                    <w:rPr>
                      <w:rFonts w:eastAsia="Times New Roman" w:cs="Times New Roman"/>
                      <w:color w:val="000000"/>
                      <w:sz w:val="20"/>
                    </w:rPr>
                  </w:pPr>
                  <w:r w:rsidRPr="00B1735C">
                    <w:rPr>
                      <w:rFonts w:eastAsia="Times New Roman" w:cs="Times New Roman"/>
                      <w:color w:val="000000"/>
                      <w:sz w:val="20"/>
                    </w:rPr>
                    <w:t>Total Population</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EST_VC03</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V5</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Labor Force1</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EST_VC18</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V6</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HS_ED</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EST_VC142</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V11</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Native?</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EST_VC197</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V13</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magenta"/>
                    </w:rPr>
                  </w:pPr>
                  <w:r w:rsidRPr="006F5BC9">
                    <w:rPr>
                      <w:rFonts w:eastAsia="Times New Roman" w:cs="Times New Roman"/>
                      <w:color w:val="000000"/>
                      <w:sz w:val="20"/>
                      <w:highlight w:val="magenta"/>
                    </w:rPr>
                    <w:t>Employed_%</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magenta"/>
                    </w:rPr>
                  </w:pPr>
                  <w:r w:rsidRPr="006F5BC9">
                    <w:rPr>
                      <w:rFonts w:eastAsia="Times New Roman" w:cs="Times New Roman"/>
                      <w:color w:val="000000"/>
                      <w:sz w:val="20"/>
                      <w:highlight w:val="magenta"/>
                    </w:rPr>
                    <w:t>EST_VC240</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magenta"/>
                    </w:rPr>
                  </w:pPr>
                  <w:r w:rsidRPr="006F5BC9">
                    <w:rPr>
                      <w:rFonts w:eastAsia="Times New Roman" w:cs="Times New Roman"/>
                      <w:color w:val="000000"/>
                      <w:sz w:val="20"/>
                      <w:highlight w:val="magenta"/>
                    </w:rPr>
                    <w:t>V15</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Poverty</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EST_VC366</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V16</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green"/>
                    </w:rPr>
                  </w:pPr>
                  <w:r w:rsidRPr="006F5BC9">
                    <w:rPr>
                      <w:rFonts w:eastAsia="Times New Roman" w:cs="Times New Roman"/>
                      <w:color w:val="000000"/>
                      <w:sz w:val="20"/>
                      <w:highlight w:val="green"/>
                    </w:rPr>
                    <w:t>CS Ranking</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green"/>
                    </w:rPr>
                  </w:pPr>
                  <w:r w:rsidRPr="006F5BC9">
                    <w:rPr>
                      <w:rFonts w:eastAsia="Times New Roman" w:cs="Times New Roman"/>
                      <w:color w:val="000000"/>
                      <w:sz w:val="20"/>
                      <w:highlight w:val="green"/>
                    </w:rPr>
                    <w:t>CS_MAG</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green"/>
                    </w:rPr>
                  </w:pPr>
                  <w:r w:rsidRPr="006F5BC9">
                    <w:rPr>
                      <w:rFonts w:eastAsia="Times New Roman" w:cs="Times New Roman"/>
                      <w:color w:val="000000"/>
                      <w:sz w:val="20"/>
                      <w:highlight w:val="green"/>
                    </w:rPr>
                    <w:t>V36</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General Ranking</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GM_MAG</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V37</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magenta"/>
                    </w:rPr>
                  </w:pPr>
                  <w:r w:rsidRPr="006F5BC9">
                    <w:rPr>
                      <w:rFonts w:eastAsia="Times New Roman" w:cs="Times New Roman"/>
                      <w:color w:val="000000"/>
                      <w:sz w:val="20"/>
                      <w:highlight w:val="magenta"/>
                    </w:rPr>
                    <w:t>Income Per Capita</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magenta"/>
                    </w:rPr>
                  </w:pPr>
                  <w:r w:rsidRPr="006F5BC9">
                    <w:rPr>
                      <w:rFonts w:eastAsia="Times New Roman" w:cs="Times New Roman"/>
                      <w:color w:val="000000"/>
                      <w:sz w:val="20"/>
                      <w:highlight w:val="magenta"/>
                    </w:rPr>
                    <w:t>INC_PP</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magenta"/>
                    </w:rPr>
                  </w:pPr>
                  <w:r w:rsidRPr="006F5BC9">
                    <w:rPr>
                      <w:rFonts w:eastAsia="Times New Roman" w:cs="Times New Roman"/>
                      <w:color w:val="000000"/>
                      <w:sz w:val="20"/>
                      <w:highlight w:val="magenta"/>
                    </w:rPr>
                    <w:t>V38</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magenta"/>
                    </w:rPr>
                  </w:pPr>
                  <w:r w:rsidRPr="006F5BC9">
                    <w:rPr>
                      <w:rFonts w:eastAsia="Times New Roman" w:cs="Times New Roman"/>
                      <w:color w:val="000000"/>
                      <w:sz w:val="20"/>
                      <w:highlight w:val="magenta"/>
                    </w:rPr>
                    <w:t>GDP Per Capita</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magenta"/>
                    </w:rPr>
                  </w:pPr>
                  <w:r w:rsidRPr="006F5BC9">
                    <w:rPr>
                      <w:rFonts w:eastAsia="Times New Roman" w:cs="Times New Roman"/>
                      <w:color w:val="000000"/>
                      <w:sz w:val="20"/>
                      <w:highlight w:val="magenta"/>
                    </w:rPr>
                    <w:t>GDP_PP</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highlight w:val="magenta"/>
                    </w:rPr>
                  </w:pPr>
                  <w:r w:rsidRPr="006F5BC9">
                    <w:rPr>
                      <w:rFonts w:eastAsia="Times New Roman" w:cs="Times New Roman"/>
                      <w:color w:val="000000"/>
                      <w:sz w:val="20"/>
                      <w:highlight w:val="magenta"/>
                    </w:rPr>
                    <w:t>V39</w:t>
                  </w:r>
                </w:p>
              </w:tc>
            </w:tr>
            <w:tr w:rsidR="006F5BC9" w:rsidRPr="006F5BC9" w:rsidTr="006F5BC9">
              <w:trPr>
                <w:trHeight w:val="43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Ages 18-64</w:t>
                  </w:r>
                </w:p>
              </w:tc>
              <w:tc>
                <w:tcPr>
                  <w:tcW w:w="210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LABOR_FORCE</w:t>
                  </w:r>
                </w:p>
              </w:tc>
              <w:tc>
                <w:tcPr>
                  <w:tcW w:w="960" w:type="dxa"/>
                  <w:tcBorders>
                    <w:top w:val="nil"/>
                    <w:left w:val="nil"/>
                    <w:bottom w:val="single" w:sz="4" w:space="0" w:color="auto"/>
                    <w:right w:val="single" w:sz="4" w:space="0" w:color="auto"/>
                  </w:tcBorders>
                  <w:shd w:val="clear" w:color="auto" w:fill="auto"/>
                  <w:noWrap/>
                  <w:vAlign w:val="bottom"/>
                  <w:hideMark/>
                </w:tcPr>
                <w:p w:rsidR="006F5BC9" w:rsidRPr="006F5BC9" w:rsidRDefault="006F5BC9" w:rsidP="006F5BC9">
                  <w:pPr>
                    <w:spacing w:after="0" w:line="240" w:lineRule="auto"/>
                    <w:rPr>
                      <w:rFonts w:eastAsia="Times New Roman" w:cs="Times New Roman"/>
                      <w:color w:val="000000"/>
                      <w:sz w:val="20"/>
                    </w:rPr>
                  </w:pPr>
                  <w:r w:rsidRPr="006F5BC9">
                    <w:rPr>
                      <w:rFonts w:eastAsia="Times New Roman" w:cs="Times New Roman"/>
                      <w:color w:val="000000"/>
                      <w:sz w:val="20"/>
                    </w:rPr>
                    <w:t>V40</w:t>
                  </w:r>
                </w:p>
              </w:tc>
            </w:tr>
          </w:tbl>
          <w:p w:rsidR="006F5BC9" w:rsidRPr="006F5BC9" w:rsidRDefault="006F5BC9" w:rsidP="006F5BC9">
            <w:pPr>
              <w:spacing w:after="0" w:line="240" w:lineRule="auto"/>
              <w:rPr>
                <w:rFonts w:eastAsia="Times New Roman" w:cs="Times New Roman"/>
                <w:szCs w:val="24"/>
              </w:rPr>
            </w:pPr>
          </w:p>
        </w:tc>
        <w:tc>
          <w:tcPr>
            <w:tcW w:w="2100"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sz w:val="20"/>
              </w:rPr>
            </w:pPr>
          </w:p>
        </w:tc>
        <w:tc>
          <w:tcPr>
            <w:tcW w:w="7018"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sz w:val="20"/>
              </w:rPr>
            </w:pPr>
          </w:p>
        </w:tc>
      </w:tr>
      <w:tr w:rsidR="006F5BC9" w:rsidRPr="006F5BC9" w:rsidTr="00E10536">
        <w:trPr>
          <w:trHeight w:val="435"/>
        </w:trPr>
        <w:tc>
          <w:tcPr>
            <w:tcW w:w="9918"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c>
          <w:tcPr>
            <w:tcW w:w="2100"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r>
      <w:tr w:rsidR="006F5BC9" w:rsidRPr="006F5BC9" w:rsidTr="00E10536">
        <w:trPr>
          <w:trHeight w:val="435"/>
        </w:trPr>
        <w:tc>
          <w:tcPr>
            <w:tcW w:w="9918" w:type="dxa"/>
            <w:tcBorders>
              <w:top w:val="nil"/>
              <w:left w:val="nil"/>
              <w:bottom w:val="nil"/>
              <w:right w:val="nil"/>
            </w:tcBorders>
            <w:shd w:val="clear" w:color="auto" w:fill="auto"/>
            <w:noWrap/>
            <w:vAlign w:val="bottom"/>
          </w:tcPr>
          <w:p w:rsidR="006F5BC9" w:rsidRPr="00B1735C" w:rsidRDefault="006F5BC9" w:rsidP="006F5BC9">
            <w:pPr>
              <w:spacing w:after="0" w:line="240" w:lineRule="auto"/>
              <w:rPr>
                <w:rFonts w:eastAsia="Times New Roman" w:cs="Times New Roman"/>
                <w:color w:val="000000"/>
              </w:rPr>
            </w:pPr>
          </w:p>
          <w:p w:rsidR="004D7CF5" w:rsidRPr="00B1735C" w:rsidRDefault="004D7CF5" w:rsidP="006F5BC9">
            <w:pPr>
              <w:spacing w:after="0" w:line="240" w:lineRule="auto"/>
              <w:rPr>
                <w:rFonts w:eastAsia="Times New Roman" w:cs="Times New Roman"/>
                <w:color w:val="000000"/>
              </w:rPr>
            </w:pPr>
          </w:p>
          <w:p w:rsidR="004D7CF5" w:rsidRPr="00B1735C" w:rsidRDefault="004D7CF5" w:rsidP="006F5BC9">
            <w:pPr>
              <w:spacing w:after="0" w:line="240" w:lineRule="auto"/>
              <w:rPr>
                <w:rFonts w:eastAsia="Times New Roman" w:cs="Times New Roman"/>
                <w:color w:val="000000"/>
              </w:rPr>
            </w:pPr>
          </w:p>
          <w:p w:rsidR="004D7CF5" w:rsidRPr="006F5BC9" w:rsidRDefault="004D7CF5" w:rsidP="004D7CF5">
            <w:pPr>
              <w:spacing w:after="0" w:line="240" w:lineRule="auto"/>
              <w:jc w:val="center"/>
              <w:rPr>
                <w:rFonts w:eastAsia="Times New Roman" w:cs="Times New Roman"/>
                <w:color w:val="000000"/>
              </w:rPr>
            </w:pPr>
            <w:r w:rsidRPr="00B1735C">
              <w:rPr>
                <w:rFonts w:eastAsia="Times New Roman" w:cs="Times New Roman"/>
                <w:color w:val="000000"/>
              </w:rPr>
              <w:t>Models</w:t>
            </w:r>
          </w:p>
        </w:tc>
        <w:tc>
          <w:tcPr>
            <w:tcW w:w="2100"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r>
      <w:tr w:rsidR="006F5BC9" w:rsidRPr="006F5BC9" w:rsidTr="00E10536">
        <w:trPr>
          <w:trHeight w:val="435"/>
        </w:trPr>
        <w:tc>
          <w:tcPr>
            <w:tcW w:w="9918" w:type="dxa"/>
            <w:tcBorders>
              <w:top w:val="nil"/>
              <w:left w:val="nil"/>
              <w:bottom w:val="nil"/>
              <w:right w:val="nil"/>
            </w:tcBorders>
            <w:shd w:val="clear" w:color="auto" w:fill="auto"/>
            <w:noWrap/>
            <w:vAlign w:val="bottom"/>
          </w:tcPr>
          <w:p w:rsidR="006F5BC9" w:rsidRPr="006F5BC9" w:rsidRDefault="006F5BC9" w:rsidP="004D7CF5">
            <w:pPr>
              <w:spacing w:after="0" w:line="240" w:lineRule="auto"/>
              <w:rPr>
                <w:rFonts w:eastAsia="Times New Roman" w:cs="Times New Roman"/>
                <w:color w:val="000000"/>
              </w:rPr>
            </w:pPr>
            <m:oMathPara>
              <m:oMath>
                <m:r>
                  <w:rPr>
                    <w:rFonts w:ascii="Cambria Math" w:eastAsia="Times New Roman" w:hAnsi="Cambria Math" w:cs="Times New Roman"/>
                    <w:color w:val="000000"/>
                  </w:rPr>
                  <m:t>V</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39</m:t>
                    </m:r>
                  </m:e>
                  <m:sup>
                    <m:r>
                      <w:rPr>
                        <w:rFonts w:ascii="Cambria Math" w:eastAsia="Times New Roman" w:hAnsi="Cambria Math" w:cs="Times New Roman"/>
                        <w:color w:val="000000"/>
                      </w:rPr>
                      <m:t>*</m:t>
                    </m:r>
                  </m:sup>
                </m:sSup>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1</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39</m:t>
                    </m:r>
                  </m:e>
                  <m:sub>
                    <m:r>
                      <w:rPr>
                        <w:rFonts w:ascii="Cambria Math" w:eastAsia="Times New Roman" w:hAnsi="Cambria Math" w:cs="Times New Roman"/>
                        <w:color w:val="000000"/>
                      </w:rPr>
                      <m:t>(t-2,t-3)</m:t>
                    </m:r>
                  </m:sub>
                </m:sSub>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2</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40</m:t>
                    </m:r>
                  </m:e>
                  <m:sub>
                    <m:r>
                      <w:rPr>
                        <w:rFonts w:ascii="Cambria Math" w:eastAsia="Times New Roman" w:hAnsi="Cambria Math" w:cs="Times New Roman"/>
                        <w:color w:val="000000"/>
                      </w:rPr>
                      <m:t>t-2</m:t>
                    </m:r>
                  </m:sub>
                </m:sSub>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3</m:t>
                    </m:r>
                  </m:sub>
                </m:sSub>
                <m:r>
                  <w:rPr>
                    <w:rFonts w:ascii="Cambria Math" w:eastAsia="Times New Roman" w:hAnsi="Cambria Math" w:cs="Times New Roman"/>
                    <w:color w:val="000000"/>
                  </w:rPr>
                  <m:t>V18+</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4</m:t>
                    </m:r>
                  </m:sub>
                </m:sSub>
                <m:r>
                  <w:rPr>
                    <w:rFonts w:ascii="Cambria Math" w:eastAsia="Times New Roman" w:hAnsi="Cambria Math" w:cs="Times New Roman"/>
                    <w:color w:val="000000"/>
                  </w:rPr>
                  <m:t xml:space="preserve">V11 +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5</m:t>
                    </m:r>
                  </m:sub>
                </m:sSub>
                <m:r>
                  <w:rPr>
                    <w:rFonts w:ascii="Cambria Math" w:eastAsia="Times New Roman" w:hAnsi="Cambria Math" w:cs="Times New Roman"/>
                    <w:color w:val="000000"/>
                  </w:rPr>
                  <m:t>V1</m:t>
                </m:r>
                <m:r>
                  <w:rPr>
                    <w:rFonts w:ascii="Cambria Math" w:eastAsia="Times New Roman" w:hAnsi="Cambria Math" w:cs="Times New Roman"/>
                    <w:color w:val="000000"/>
                  </w:rPr>
                  <m:t>3</m:t>
                </m:r>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6</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36</m:t>
                    </m:r>
                  </m:e>
                  <m:sub>
                    <m:r>
                      <w:rPr>
                        <w:rFonts w:ascii="Cambria Math" w:eastAsia="Times New Roman" w:hAnsi="Cambria Math" w:cs="Times New Roman"/>
                        <w:color w:val="000000"/>
                      </w:rPr>
                      <m:t>t-2</m:t>
                    </m:r>
                  </m:sub>
                </m:sSub>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7</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37</m:t>
                    </m:r>
                  </m:e>
                  <m:sub>
                    <m:r>
                      <w:rPr>
                        <w:rFonts w:ascii="Cambria Math" w:eastAsia="Times New Roman" w:hAnsi="Cambria Math" w:cs="Times New Roman"/>
                        <w:color w:val="000000"/>
                      </w:rPr>
                      <m:t>t-2</m:t>
                    </m:r>
                  </m:sub>
                </m:sSub>
              </m:oMath>
            </m:oMathPara>
          </w:p>
        </w:tc>
        <w:tc>
          <w:tcPr>
            <w:tcW w:w="2100"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r>
      <w:tr w:rsidR="006F5BC9" w:rsidRPr="006F5BC9" w:rsidTr="00E10536">
        <w:trPr>
          <w:trHeight w:val="477"/>
        </w:trPr>
        <w:tc>
          <w:tcPr>
            <w:tcW w:w="9918"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c>
          <w:tcPr>
            <w:tcW w:w="2100"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6F5BC9" w:rsidRPr="006F5BC9" w:rsidRDefault="006F5BC9" w:rsidP="006F5BC9">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m:oMathPara>
              <m:oMath>
                <m:r>
                  <w:rPr>
                    <w:rFonts w:ascii="Cambria Math" w:eastAsia="Times New Roman" w:hAnsi="Cambria Math" w:cs="Times New Roman"/>
                    <w:color w:val="000000"/>
                  </w:rPr>
                  <m:t>V</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38</m:t>
                    </m:r>
                  </m:e>
                  <m:sup>
                    <m:r>
                      <w:rPr>
                        <w:rFonts w:ascii="Cambria Math" w:eastAsia="Times New Roman" w:hAnsi="Cambria Math" w:cs="Times New Roman"/>
                        <w:color w:val="000000"/>
                      </w:rPr>
                      <m:t>*</m:t>
                    </m:r>
                  </m:sup>
                </m:sSup>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1</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38</m:t>
                    </m:r>
                  </m:e>
                  <m:sub>
                    <m:r>
                      <w:rPr>
                        <w:rFonts w:ascii="Cambria Math" w:eastAsia="Times New Roman" w:hAnsi="Cambria Math" w:cs="Times New Roman"/>
                        <w:color w:val="000000"/>
                      </w:rPr>
                      <m:t>(t-2,t-3)</m:t>
                    </m:r>
                  </m:sub>
                </m:sSub>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2</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40</m:t>
                    </m:r>
                  </m:e>
                  <m:sub>
                    <m:r>
                      <w:rPr>
                        <w:rFonts w:ascii="Cambria Math" w:eastAsia="Times New Roman" w:hAnsi="Cambria Math" w:cs="Times New Roman"/>
                        <w:color w:val="000000"/>
                      </w:rPr>
                      <m:t>t-2</m:t>
                    </m:r>
                  </m:sub>
                </m:sSub>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3</m:t>
                    </m:r>
                  </m:sub>
                </m:sSub>
                <m:r>
                  <w:rPr>
                    <w:rFonts w:ascii="Cambria Math" w:eastAsia="Times New Roman" w:hAnsi="Cambria Math" w:cs="Times New Roman"/>
                    <w:color w:val="000000"/>
                  </w:rPr>
                  <m:t>V18+</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4</m:t>
                    </m:r>
                  </m:sub>
                </m:sSub>
                <m:r>
                  <w:rPr>
                    <w:rFonts w:ascii="Cambria Math" w:eastAsia="Times New Roman" w:hAnsi="Cambria Math" w:cs="Times New Roman"/>
                    <w:color w:val="000000"/>
                  </w:rPr>
                  <m:t xml:space="preserve">V11 +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5</m:t>
                    </m:r>
                  </m:sub>
                </m:sSub>
                <m:r>
                  <w:rPr>
                    <w:rFonts w:ascii="Cambria Math" w:eastAsia="Times New Roman" w:hAnsi="Cambria Math" w:cs="Times New Roman"/>
                    <w:color w:val="000000"/>
                  </w:rPr>
                  <m:t>V13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6</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36</m:t>
                    </m:r>
                  </m:e>
                  <m:sub>
                    <m:r>
                      <w:rPr>
                        <w:rFonts w:ascii="Cambria Math" w:eastAsia="Times New Roman" w:hAnsi="Cambria Math" w:cs="Times New Roman"/>
                        <w:color w:val="000000"/>
                      </w:rPr>
                      <m:t>t-2</m:t>
                    </m:r>
                  </m:sub>
                </m:sSub>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7</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37</m:t>
                    </m:r>
                  </m:e>
                  <m:sub>
                    <m:r>
                      <w:rPr>
                        <w:rFonts w:ascii="Cambria Math" w:eastAsia="Times New Roman" w:hAnsi="Cambria Math" w:cs="Times New Roman"/>
                        <w:color w:val="000000"/>
                      </w:rPr>
                      <m:t>t-2</m:t>
                    </m:r>
                  </m:sub>
                </m:sSub>
              </m:oMath>
            </m:oMathPara>
          </w:p>
        </w:tc>
        <w:tc>
          <w:tcPr>
            <w:tcW w:w="2100"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2100"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m:oMathPara>
              <m:oMath>
                <m:r>
                  <w:rPr>
                    <w:rFonts w:ascii="Cambria Math" w:eastAsia="Times New Roman" w:hAnsi="Cambria Math" w:cs="Times New Roman"/>
                    <w:color w:val="000000"/>
                  </w:rPr>
                  <m:t>V</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15</m:t>
                    </m:r>
                  </m:e>
                  <m:sup>
                    <m:r>
                      <w:rPr>
                        <w:rFonts w:ascii="Cambria Math" w:eastAsia="Times New Roman" w:hAnsi="Cambria Math" w:cs="Times New Roman"/>
                        <w:color w:val="000000"/>
                      </w:rPr>
                      <m:t>*</m:t>
                    </m:r>
                  </m:sup>
                </m:sSup>
                <m:r>
                  <w:rPr>
                    <w:rFonts w:ascii="Cambria Math" w:eastAsia="Times New Roman" w:hAnsi="Cambria Math" w:cs="Times New Roman"/>
                    <w:color w:val="000000"/>
                  </w:rPr>
                  <m:t>=</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1</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15</m:t>
                    </m:r>
                  </m:e>
                  <m:sub>
                    <m:r>
                      <w:rPr>
                        <w:rFonts w:ascii="Cambria Math" w:eastAsia="Times New Roman" w:hAnsi="Cambria Math" w:cs="Times New Roman"/>
                        <w:color w:val="000000"/>
                      </w:rPr>
                      <m:t>(t-2,t-3)</m:t>
                    </m:r>
                  </m:sub>
                </m:sSub>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2</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40</m:t>
                    </m:r>
                  </m:e>
                  <m:sub>
                    <m:r>
                      <w:rPr>
                        <w:rFonts w:ascii="Cambria Math" w:eastAsia="Times New Roman" w:hAnsi="Cambria Math" w:cs="Times New Roman"/>
                        <w:color w:val="000000"/>
                      </w:rPr>
                      <m:t>t-2</m:t>
                    </m:r>
                  </m:sub>
                </m:sSub>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3</m:t>
                    </m:r>
                  </m:sub>
                </m:sSub>
                <m:r>
                  <w:rPr>
                    <w:rFonts w:ascii="Cambria Math" w:eastAsia="Times New Roman" w:hAnsi="Cambria Math" w:cs="Times New Roman"/>
                    <w:color w:val="000000"/>
                  </w:rPr>
                  <m:t>V18+</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4</m:t>
                    </m:r>
                  </m:sub>
                </m:sSub>
                <m:r>
                  <w:rPr>
                    <w:rFonts w:ascii="Cambria Math" w:eastAsia="Times New Roman" w:hAnsi="Cambria Math" w:cs="Times New Roman"/>
                    <w:color w:val="000000"/>
                  </w:rPr>
                  <m:t xml:space="preserve">V11 +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5</m:t>
                    </m:r>
                  </m:sub>
                </m:sSub>
                <m:r>
                  <w:rPr>
                    <w:rFonts w:ascii="Cambria Math" w:eastAsia="Times New Roman" w:hAnsi="Cambria Math" w:cs="Times New Roman"/>
                    <w:color w:val="000000"/>
                  </w:rPr>
                  <m:t>V13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6</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36</m:t>
                    </m:r>
                  </m:e>
                  <m:sub>
                    <m:r>
                      <w:rPr>
                        <w:rFonts w:ascii="Cambria Math" w:eastAsia="Times New Roman" w:hAnsi="Cambria Math" w:cs="Times New Roman"/>
                        <w:color w:val="000000"/>
                      </w:rPr>
                      <m:t>t-2</m:t>
                    </m:r>
                  </m:sub>
                </m:sSub>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θ</m:t>
                    </m:r>
                  </m:e>
                  <m:sub>
                    <m:r>
                      <w:rPr>
                        <w:rFonts w:ascii="Cambria Math" w:eastAsia="Times New Roman" w:hAnsi="Cambria Math" w:cs="Times New Roman"/>
                        <w:color w:val="000000"/>
                      </w:rPr>
                      <m:t>7</m:t>
                    </m:r>
                  </m:sub>
                </m:sSub>
                <m:r>
                  <w:rPr>
                    <w:rFonts w:ascii="Cambria Math" w:eastAsia="Times New Roman" w:hAnsi="Cambria Math" w:cs="Times New Roman"/>
                    <w:color w:val="000000"/>
                  </w:rPr>
                  <m:t>V</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37</m:t>
                    </m:r>
                  </m:e>
                  <m:sub>
                    <m:r>
                      <w:rPr>
                        <w:rFonts w:ascii="Cambria Math" w:eastAsia="Times New Roman" w:hAnsi="Cambria Math" w:cs="Times New Roman"/>
                        <w:color w:val="000000"/>
                      </w:rPr>
                      <m:t>t-2</m:t>
                    </m:r>
                  </m:sub>
                </m:sSub>
              </m:oMath>
            </m:oMathPara>
          </w:p>
        </w:tc>
        <w:tc>
          <w:tcPr>
            <w:tcW w:w="2100"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2100"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C23535" w:rsidRPr="00B1735C" w:rsidRDefault="00C23535" w:rsidP="00705841">
            <w:pPr>
              <w:spacing w:after="0" w:line="240" w:lineRule="auto"/>
              <w:rPr>
                <w:rFonts w:eastAsia="Times New Roman" w:cs="Times New Roman"/>
                <w:color w:val="000000"/>
              </w:rPr>
            </w:pPr>
          </w:p>
          <w:p w:rsidR="00705841" w:rsidRPr="00B1735C" w:rsidRDefault="00705841" w:rsidP="00705841">
            <w:pPr>
              <w:spacing w:after="0" w:line="240" w:lineRule="auto"/>
              <w:rPr>
                <w:rFonts w:eastAsia="Times New Roman" w:cs="Times New Roman"/>
                <w:color w:val="000000"/>
              </w:rPr>
            </w:pPr>
            <w:r w:rsidRPr="00B1735C">
              <w:rPr>
                <w:rFonts w:eastAsia="Times New Roman" w:cs="Times New Roman"/>
                <w:color w:val="000000"/>
              </w:rPr>
              <w:t xml:space="preserve">As is shown above, the Dependent variables in all cases were lagged twice (where available, i.e. years 2015,2014,2013), Labor Force, and both ‘General’ and ‘CS’ were lagged once. </w:t>
            </w:r>
          </w:p>
          <w:p w:rsidR="00705841" w:rsidRPr="00B1735C" w:rsidRDefault="00705841" w:rsidP="00705841">
            <w:pPr>
              <w:spacing w:after="0" w:line="240" w:lineRule="auto"/>
              <w:rPr>
                <w:rFonts w:eastAsia="Times New Roman" w:cs="Times New Roman"/>
                <w:color w:val="000000"/>
              </w:rPr>
            </w:pPr>
          </w:p>
          <w:p w:rsidR="004D7CF5" w:rsidRPr="00B1735C" w:rsidRDefault="0032370A" w:rsidP="00705841">
            <w:pPr>
              <w:spacing w:after="0" w:line="240" w:lineRule="auto"/>
              <w:rPr>
                <w:rFonts w:eastAsia="Times New Roman" w:cs="Times New Roman"/>
                <w:color w:val="000000"/>
              </w:rPr>
            </w:pPr>
            <w:r w:rsidRPr="00B1735C">
              <w:rPr>
                <w:rFonts w:eastAsia="Times New Roman" w:cs="Times New Roman"/>
                <w:color w:val="000000"/>
              </w:rPr>
              <w:t>In each</w:t>
            </w:r>
            <w:r w:rsidR="00EE638D" w:rsidRPr="00B1735C">
              <w:rPr>
                <w:rFonts w:eastAsia="Times New Roman" w:cs="Times New Roman"/>
                <w:color w:val="000000"/>
              </w:rPr>
              <w:t xml:space="preserve"> case the fitted values were made ‘Robust’ separately.</w:t>
            </w:r>
          </w:p>
          <w:p w:rsidR="00EE638D" w:rsidRPr="00B1735C" w:rsidRDefault="00EE638D" w:rsidP="00705841">
            <w:pPr>
              <w:spacing w:after="0" w:line="240" w:lineRule="auto"/>
              <w:rPr>
                <w:rFonts w:eastAsia="Times New Roman" w:cs="Times New Roman"/>
                <w:color w:val="000000"/>
              </w:rPr>
            </w:pPr>
          </w:p>
          <w:p w:rsidR="00EE638D" w:rsidRPr="00B1735C" w:rsidRDefault="00EE638D" w:rsidP="00705841">
            <w:pPr>
              <w:spacing w:after="0" w:line="240" w:lineRule="auto"/>
              <w:rPr>
                <w:rFonts w:eastAsia="Times New Roman" w:cs="Times New Roman"/>
                <w:color w:val="000000"/>
              </w:rPr>
            </w:pPr>
            <w:r w:rsidRPr="00B1735C">
              <w:rPr>
                <w:rFonts w:eastAsia="Times New Roman" w:cs="Times New Roman"/>
                <w:color w:val="000000"/>
              </w:rPr>
              <w:t xml:space="preserve">I will rely on the Z and P values for V36 to ultimately determine whether to soundly reject the Null that a CS ranking is not a deterministic growth variable. </w:t>
            </w:r>
          </w:p>
          <w:p w:rsidR="00EE638D" w:rsidRPr="00B1735C" w:rsidRDefault="00EE638D" w:rsidP="00705841">
            <w:pPr>
              <w:spacing w:after="0" w:line="240" w:lineRule="auto"/>
              <w:rPr>
                <w:rFonts w:eastAsia="Times New Roman" w:cs="Times New Roman"/>
                <w:color w:val="000000"/>
              </w:rPr>
            </w:pPr>
          </w:p>
          <w:p w:rsidR="00EE638D" w:rsidRPr="00B1735C" w:rsidRDefault="0032370A" w:rsidP="00705841">
            <w:pPr>
              <w:spacing w:after="0" w:line="240" w:lineRule="auto"/>
              <w:rPr>
                <w:rFonts w:eastAsia="Times New Roman" w:cs="Times New Roman"/>
                <w:color w:val="000000"/>
              </w:rPr>
            </w:pPr>
            <w:r w:rsidRPr="00B1735C">
              <w:rPr>
                <w:rFonts w:eastAsia="Times New Roman" w:cs="Times New Roman"/>
                <w:color w:val="000000"/>
              </w:rPr>
              <w:t>Additionally</w:t>
            </w:r>
            <w:r w:rsidR="00EE638D" w:rsidRPr="00B1735C">
              <w:rPr>
                <w:rFonts w:eastAsia="Times New Roman" w:cs="Times New Roman"/>
                <w:color w:val="000000"/>
              </w:rPr>
              <w:t xml:space="preserve">, I will evaluate the </w:t>
            </w:r>
            <w:proofErr w:type="spellStart"/>
            <w:r w:rsidR="00EE638D" w:rsidRPr="00B1735C">
              <w:rPr>
                <w:rFonts w:eastAsia="Times New Roman" w:cs="Times New Roman"/>
                <w:color w:val="000000"/>
              </w:rPr>
              <w:t>Sargan</w:t>
            </w:r>
            <w:proofErr w:type="spellEnd"/>
            <w:r w:rsidR="00EE638D" w:rsidRPr="00B1735C">
              <w:rPr>
                <w:rFonts w:eastAsia="Times New Roman" w:cs="Times New Roman"/>
                <w:color w:val="000000"/>
              </w:rPr>
              <w:t xml:space="preserve"> (/J), Autocorrelation, and Wald Test to first determine if the model fits the data appropriately. </w:t>
            </w:r>
          </w:p>
          <w:p w:rsidR="00EE638D" w:rsidRPr="00B1735C" w:rsidRDefault="00EE638D" w:rsidP="00705841">
            <w:pPr>
              <w:spacing w:after="0" w:line="240" w:lineRule="auto"/>
              <w:rPr>
                <w:rFonts w:eastAsia="Times New Roman" w:cs="Times New Roman"/>
                <w:color w:val="000000"/>
              </w:rPr>
            </w:pPr>
          </w:p>
          <w:p w:rsidR="00EE638D" w:rsidRPr="00B1735C" w:rsidRDefault="00EE638D" w:rsidP="00D962D0">
            <w:pPr>
              <w:pStyle w:val="ListParagraph"/>
              <w:numPr>
                <w:ilvl w:val="0"/>
                <w:numId w:val="1"/>
              </w:numPr>
              <w:spacing w:after="0" w:line="240" w:lineRule="auto"/>
              <w:ind w:left="90" w:firstLine="0"/>
              <w:rPr>
                <w:rFonts w:eastAsia="Times New Roman" w:cs="Times New Roman"/>
                <w:color w:val="000000"/>
              </w:rPr>
            </w:pPr>
            <w:r w:rsidRPr="00B1735C">
              <w:rPr>
                <w:rFonts w:eastAsia="Times New Roman" w:cs="Times New Roman"/>
                <w:color w:val="000000"/>
              </w:rPr>
              <w:t>Conclusions</w:t>
            </w:r>
          </w:p>
          <w:p w:rsidR="00EE638D" w:rsidRPr="00B1735C" w:rsidRDefault="00EE638D" w:rsidP="00D962D0">
            <w:pPr>
              <w:spacing w:after="0" w:line="240" w:lineRule="auto"/>
              <w:ind w:left="90"/>
              <w:rPr>
                <w:rFonts w:eastAsia="Times New Roman" w:cs="Times New Roman"/>
                <w:color w:val="000000"/>
              </w:rPr>
            </w:pPr>
          </w:p>
          <w:p w:rsidR="00EE638D" w:rsidRPr="00B1735C" w:rsidRDefault="00EE638D" w:rsidP="00D962D0">
            <w:pPr>
              <w:spacing w:after="0" w:line="240" w:lineRule="auto"/>
              <w:ind w:left="90"/>
              <w:rPr>
                <w:rFonts w:eastAsia="Times New Roman" w:cs="Times New Roman"/>
                <w:color w:val="000000"/>
              </w:rPr>
            </w:pPr>
            <w:r w:rsidRPr="00B1735C">
              <w:rPr>
                <w:rFonts w:eastAsia="Times New Roman" w:cs="Times New Roman"/>
                <w:color w:val="000000"/>
              </w:rPr>
              <w:t xml:space="preserve">Evaluating first the ‘validity’ of the model. We can see that two of the three models passed in terms of validity, i.e. using GDP Per Capita </w:t>
            </w:r>
            <w:r w:rsidR="00E10536" w:rsidRPr="00B1735C">
              <w:rPr>
                <w:rFonts w:eastAsia="Times New Roman" w:cs="Times New Roman"/>
                <w:color w:val="000000"/>
              </w:rPr>
              <w:t xml:space="preserve">(V39) </w:t>
            </w:r>
            <w:r w:rsidRPr="00B1735C">
              <w:rPr>
                <w:rFonts w:eastAsia="Times New Roman" w:cs="Times New Roman"/>
                <w:color w:val="000000"/>
              </w:rPr>
              <w:t xml:space="preserve">and Employment </w:t>
            </w:r>
            <w:r w:rsidR="00E10536" w:rsidRPr="00B1735C">
              <w:rPr>
                <w:rFonts w:eastAsia="Times New Roman" w:cs="Times New Roman"/>
                <w:color w:val="000000"/>
              </w:rPr>
              <w:t xml:space="preserve">(V15) </w:t>
            </w:r>
            <w:r w:rsidRPr="00B1735C">
              <w:rPr>
                <w:rFonts w:eastAsia="Times New Roman" w:cs="Times New Roman"/>
                <w:color w:val="000000"/>
              </w:rPr>
              <w:t>were both well fit given the data, however Income per capita was not.</w:t>
            </w:r>
            <w:r w:rsidR="00753753" w:rsidRPr="00B1735C">
              <w:rPr>
                <w:rFonts w:eastAsia="Times New Roman" w:cs="Times New Roman"/>
                <w:color w:val="000000"/>
              </w:rPr>
              <w:t xml:space="preserve"> (See the below Tables and attached ‘OUTPUT.</w:t>
            </w:r>
            <w:r w:rsidR="00C23535" w:rsidRPr="00B1735C">
              <w:rPr>
                <w:rFonts w:eastAsia="Times New Roman" w:cs="Times New Roman"/>
                <w:color w:val="000000"/>
              </w:rPr>
              <w:t>xlsx’</w:t>
            </w:r>
            <w:r w:rsidR="00753753" w:rsidRPr="00B1735C">
              <w:rPr>
                <w:rFonts w:eastAsia="Times New Roman" w:cs="Times New Roman"/>
                <w:color w:val="000000"/>
              </w:rPr>
              <w:t xml:space="preserve">). </w:t>
            </w:r>
            <w:r w:rsidRPr="00B1735C">
              <w:rPr>
                <w:rFonts w:eastAsia="Times New Roman" w:cs="Times New Roman"/>
                <w:color w:val="000000"/>
              </w:rPr>
              <w:t xml:space="preserve"> </w:t>
            </w:r>
          </w:p>
          <w:p w:rsidR="00EE638D" w:rsidRPr="00B1735C" w:rsidRDefault="00EE638D" w:rsidP="00D962D0">
            <w:pPr>
              <w:spacing w:after="0" w:line="240" w:lineRule="auto"/>
              <w:ind w:left="90"/>
              <w:rPr>
                <w:rFonts w:eastAsia="Times New Roman" w:cs="Times New Roman"/>
                <w:color w:val="000000"/>
              </w:rPr>
            </w:pPr>
          </w:p>
          <w:p w:rsidR="00EE638D" w:rsidRPr="00B1735C" w:rsidRDefault="00EE638D" w:rsidP="00D962D0">
            <w:pPr>
              <w:spacing w:after="0" w:line="240" w:lineRule="auto"/>
              <w:ind w:left="90"/>
              <w:rPr>
                <w:rFonts w:eastAsia="Times New Roman" w:cs="Times New Roman"/>
                <w:color w:val="000000"/>
              </w:rPr>
            </w:pPr>
            <w:r w:rsidRPr="00B1735C">
              <w:rPr>
                <w:rFonts w:eastAsia="Times New Roman" w:cs="Times New Roman"/>
                <w:color w:val="000000"/>
              </w:rPr>
              <w:t xml:space="preserve">Income </w:t>
            </w:r>
            <w:r w:rsidR="00E10536" w:rsidRPr="00B1735C">
              <w:rPr>
                <w:rFonts w:eastAsia="Times New Roman" w:cs="Times New Roman"/>
                <w:color w:val="000000"/>
              </w:rPr>
              <w:t>Per C</w:t>
            </w:r>
            <w:r w:rsidR="00B17B3A" w:rsidRPr="00B1735C">
              <w:rPr>
                <w:rFonts w:eastAsia="Times New Roman" w:cs="Times New Roman"/>
                <w:color w:val="000000"/>
              </w:rPr>
              <w:t>apita</w:t>
            </w:r>
            <w:r w:rsidR="00E10536" w:rsidRPr="00B1735C">
              <w:rPr>
                <w:rFonts w:eastAsia="Times New Roman" w:cs="Times New Roman"/>
                <w:color w:val="000000"/>
              </w:rPr>
              <w:t xml:space="preserve"> (V38</w:t>
            </w:r>
            <w:r w:rsidR="006B78EB" w:rsidRPr="00B1735C">
              <w:rPr>
                <w:rFonts w:eastAsia="Times New Roman" w:cs="Times New Roman"/>
                <w:color w:val="000000"/>
              </w:rPr>
              <w:t>) failed the ‘</w:t>
            </w:r>
            <w:proofErr w:type="spellStart"/>
            <w:r w:rsidR="006B78EB" w:rsidRPr="00B1735C">
              <w:rPr>
                <w:rFonts w:eastAsia="Times New Roman" w:cs="Times New Roman"/>
                <w:color w:val="000000"/>
              </w:rPr>
              <w:t>Sargan</w:t>
            </w:r>
            <w:proofErr w:type="spellEnd"/>
            <w:r w:rsidR="006B78EB" w:rsidRPr="00B1735C">
              <w:rPr>
                <w:rFonts w:eastAsia="Times New Roman" w:cs="Times New Roman"/>
                <w:color w:val="000000"/>
              </w:rPr>
              <w:t xml:space="preserve"> Test,’ where the Nul</w:t>
            </w:r>
            <w:r w:rsidR="00C23535" w:rsidRPr="00B1735C">
              <w:rPr>
                <w:rFonts w:eastAsia="Times New Roman" w:cs="Times New Roman"/>
                <w:color w:val="000000"/>
              </w:rPr>
              <w:t>l</w:t>
            </w:r>
            <w:r w:rsidR="006B78EB" w:rsidRPr="00B1735C">
              <w:rPr>
                <w:rFonts w:eastAsia="Times New Roman" w:cs="Times New Roman"/>
                <w:color w:val="000000"/>
              </w:rPr>
              <w:t xml:space="preserve"> Hypothesis states the model is valid. The P Value was lower th</w:t>
            </w:r>
            <w:r w:rsidR="00C23535" w:rsidRPr="00B1735C">
              <w:rPr>
                <w:rFonts w:eastAsia="Times New Roman" w:cs="Times New Roman"/>
                <w:color w:val="000000"/>
              </w:rPr>
              <w:t>a</w:t>
            </w:r>
            <w:r w:rsidR="006B78EB" w:rsidRPr="00B1735C">
              <w:rPr>
                <w:rFonts w:eastAsia="Times New Roman" w:cs="Times New Roman"/>
                <w:color w:val="000000"/>
              </w:rPr>
              <w:t xml:space="preserve">n the 5% significant level. </w:t>
            </w:r>
            <w:r w:rsidR="00B015BF" w:rsidRPr="00B1735C">
              <w:rPr>
                <w:rFonts w:eastAsia="Times New Roman" w:cs="Times New Roman"/>
                <w:color w:val="000000"/>
              </w:rPr>
              <w:t>Additionally, it failed for both Autocorrelation tests, and finally</w:t>
            </w:r>
            <w:r w:rsidR="00C23535" w:rsidRPr="00B1735C">
              <w:rPr>
                <w:rFonts w:eastAsia="Times New Roman" w:cs="Times New Roman"/>
                <w:color w:val="000000"/>
              </w:rPr>
              <w:t>,</w:t>
            </w:r>
            <w:r w:rsidR="00B015BF" w:rsidRPr="00B1735C">
              <w:rPr>
                <w:rFonts w:eastAsia="Times New Roman" w:cs="Times New Roman"/>
                <w:color w:val="000000"/>
              </w:rPr>
              <w:t xml:space="preserve"> While the Wald test passed for ‘</w:t>
            </w:r>
            <w:r w:rsidR="00C23535" w:rsidRPr="00B1735C">
              <w:rPr>
                <w:rFonts w:eastAsia="Times New Roman" w:cs="Times New Roman"/>
                <w:color w:val="000000"/>
              </w:rPr>
              <w:t>time dummies’</w:t>
            </w:r>
            <w:r w:rsidR="00B015BF" w:rsidRPr="00B1735C">
              <w:rPr>
                <w:rFonts w:eastAsia="Times New Roman" w:cs="Times New Roman"/>
                <w:color w:val="000000"/>
              </w:rPr>
              <w:t>, i.e. they were not all = 0, the Wald test</w:t>
            </w:r>
            <w:r w:rsidR="00C23535" w:rsidRPr="00B1735C">
              <w:rPr>
                <w:rFonts w:eastAsia="Times New Roman" w:cs="Times New Roman"/>
                <w:color w:val="000000"/>
              </w:rPr>
              <w:t xml:space="preserve"> for coefficients</w:t>
            </w:r>
            <w:r w:rsidR="00B015BF" w:rsidRPr="00B1735C">
              <w:rPr>
                <w:rFonts w:eastAsia="Times New Roman" w:cs="Times New Roman"/>
                <w:color w:val="000000"/>
              </w:rPr>
              <w:t xml:space="preserve"> failed. </w:t>
            </w:r>
            <w:r w:rsidR="00B17B3A" w:rsidRPr="00B1735C">
              <w:rPr>
                <w:rFonts w:eastAsia="Times New Roman" w:cs="Times New Roman"/>
                <w:color w:val="000000"/>
              </w:rPr>
              <w:t xml:space="preserve"> </w:t>
            </w:r>
            <w:r w:rsidR="00753753" w:rsidRPr="00B1735C">
              <w:rPr>
                <w:rFonts w:eastAsia="Times New Roman" w:cs="Times New Roman"/>
                <w:color w:val="000000"/>
              </w:rPr>
              <w:t xml:space="preserve"> This may be due to the ‘Income Measurement Error in Surveys,’ as reported by the census itself (Moore, Stinson, and </w:t>
            </w:r>
            <w:proofErr w:type="spellStart"/>
            <w:r w:rsidR="00753753" w:rsidRPr="00B1735C">
              <w:rPr>
                <w:rFonts w:eastAsia="Times New Roman" w:cs="Times New Roman"/>
                <w:color w:val="000000"/>
              </w:rPr>
              <w:t>Welniak</w:t>
            </w:r>
            <w:proofErr w:type="spellEnd"/>
            <w:r w:rsidR="00753753" w:rsidRPr="00B1735C">
              <w:rPr>
                <w:rFonts w:eastAsia="Times New Roman" w:cs="Times New Roman"/>
                <w:color w:val="000000"/>
              </w:rPr>
              <w:t>). People tend to report their income with cognizant and unintended errors</w:t>
            </w:r>
            <w:r w:rsidR="00B015BF" w:rsidRPr="00B1735C">
              <w:rPr>
                <w:rFonts w:eastAsia="Times New Roman" w:cs="Times New Roman"/>
                <w:color w:val="000000"/>
              </w:rPr>
              <w:t xml:space="preserve">. </w:t>
            </w:r>
          </w:p>
          <w:p w:rsidR="00E10536" w:rsidRPr="00B1735C" w:rsidRDefault="00E10536" w:rsidP="00D962D0">
            <w:pPr>
              <w:spacing w:after="0" w:line="240" w:lineRule="auto"/>
              <w:ind w:left="90"/>
              <w:rPr>
                <w:rFonts w:eastAsia="Times New Roman" w:cs="Times New Roman"/>
                <w:color w:val="000000"/>
              </w:rPr>
            </w:pPr>
          </w:p>
          <w:p w:rsidR="006B78EB" w:rsidRPr="00B1735C" w:rsidRDefault="00753753" w:rsidP="00D962D0">
            <w:pPr>
              <w:spacing w:after="0" w:line="240" w:lineRule="auto"/>
              <w:ind w:left="90"/>
              <w:rPr>
                <w:rFonts w:eastAsia="Times New Roman" w:cs="Times New Roman"/>
                <w:color w:val="000000"/>
              </w:rPr>
            </w:pPr>
            <w:r w:rsidRPr="00B1735C">
              <w:rPr>
                <w:rFonts w:eastAsia="Times New Roman" w:cs="Times New Roman"/>
                <w:color w:val="000000"/>
              </w:rPr>
              <w:t>The use of V39 and V15 as dependent variables were validated by test statistics. That is, structured as a ‘Null Hypothesis’ that the test is valid. The P Values for</w:t>
            </w:r>
            <w:r w:rsidR="001F1215" w:rsidRPr="00B1735C">
              <w:rPr>
                <w:rFonts w:eastAsia="Times New Roman" w:cs="Times New Roman"/>
                <w:color w:val="000000"/>
              </w:rPr>
              <w:t xml:space="preserve"> both the Sargon and Autocorrelation in both cases were not significant to dismiss the model’s validity. </w:t>
            </w:r>
            <w:r w:rsidR="00B015BF" w:rsidRPr="00B1735C">
              <w:rPr>
                <w:rFonts w:eastAsia="Times New Roman" w:cs="Times New Roman"/>
                <w:color w:val="000000"/>
              </w:rPr>
              <w:t xml:space="preserve">Additionally, the Wald Tests for both Coefficients and Time Dummies exhibited P values low enough to reject both, indicating alleviation from multi collinearity.  </w:t>
            </w:r>
          </w:p>
          <w:p w:rsidR="001F1215" w:rsidRPr="00B1735C" w:rsidRDefault="001F1215" w:rsidP="00D962D0">
            <w:pPr>
              <w:spacing w:after="0" w:line="240" w:lineRule="auto"/>
              <w:ind w:left="90"/>
              <w:rPr>
                <w:rFonts w:eastAsia="Times New Roman" w:cs="Times New Roman"/>
                <w:color w:val="000000"/>
              </w:rPr>
            </w:pPr>
          </w:p>
          <w:p w:rsidR="001F1215" w:rsidRPr="00B1735C" w:rsidRDefault="00FC1875" w:rsidP="00D962D0">
            <w:pPr>
              <w:spacing w:after="0" w:line="240" w:lineRule="auto"/>
              <w:ind w:left="90"/>
              <w:rPr>
                <w:rFonts w:eastAsia="Times New Roman" w:cs="Times New Roman"/>
                <w:color w:val="000000"/>
              </w:rPr>
            </w:pPr>
            <w:r w:rsidRPr="00B1735C">
              <w:rPr>
                <w:rFonts w:eastAsia="Times New Roman" w:cs="Times New Roman"/>
                <w:color w:val="000000"/>
              </w:rPr>
              <w:t>Unfortunately,</w:t>
            </w:r>
            <w:r w:rsidR="001F1215" w:rsidRPr="00B1735C">
              <w:rPr>
                <w:rFonts w:eastAsia="Times New Roman" w:cs="Times New Roman"/>
                <w:color w:val="000000"/>
              </w:rPr>
              <w:t xml:space="preserve"> in both of these cases, with a valid model, the test</w:t>
            </w:r>
            <w:r w:rsidR="00B015BF" w:rsidRPr="00B1735C">
              <w:rPr>
                <w:rFonts w:eastAsia="Times New Roman" w:cs="Times New Roman"/>
                <w:color w:val="000000"/>
              </w:rPr>
              <w:t xml:space="preserve"> does</w:t>
            </w:r>
            <w:r w:rsidR="001F1215" w:rsidRPr="00B1735C">
              <w:rPr>
                <w:rFonts w:eastAsia="Times New Roman" w:cs="Times New Roman"/>
                <w:color w:val="000000"/>
              </w:rPr>
              <w:t xml:space="preserve"> not reveal a statistically signific</w:t>
            </w:r>
            <w:r w:rsidRPr="00B1735C">
              <w:rPr>
                <w:rFonts w:eastAsia="Times New Roman" w:cs="Times New Roman"/>
                <w:color w:val="000000"/>
              </w:rPr>
              <w:t>ant result for the CS variable. In all cases</w:t>
            </w:r>
            <w:r w:rsidR="0032370A" w:rsidRPr="00B1735C">
              <w:rPr>
                <w:rFonts w:eastAsia="Times New Roman" w:cs="Times New Roman"/>
                <w:color w:val="000000"/>
              </w:rPr>
              <w:t xml:space="preserve"> the P values </w:t>
            </w:r>
            <w:r w:rsidR="00B015BF" w:rsidRPr="00B1735C">
              <w:rPr>
                <w:rFonts w:eastAsia="Times New Roman" w:cs="Times New Roman"/>
                <w:color w:val="000000"/>
              </w:rPr>
              <w:t>specific to ‘V36 – The Computer Science Ranking Variable, was above</w:t>
            </w:r>
            <w:r w:rsidR="0032370A" w:rsidRPr="00B1735C">
              <w:rPr>
                <w:rFonts w:eastAsia="Times New Roman" w:cs="Times New Roman"/>
                <w:color w:val="000000"/>
              </w:rPr>
              <w:t xml:space="preserve"> the 5% significance level to</w:t>
            </w:r>
            <w:r w:rsidR="00B015BF" w:rsidRPr="00B1735C">
              <w:rPr>
                <w:rFonts w:eastAsia="Times New Roman" w:cs="Times New Roman"/>
                <w:color w:val="000000"/>
              </w:rPr>
              <w:t xml:space="preserve"> validly</w:t>
            </w:r>
            <w:r w:rsidR="0032370A" w:rsidRPr="00B1735C">
              <w:rPr>
                <w:rFonts w:eastAsia="Times New Roman" w:cs="Times New Roman"/>
                <w:color w:val="000000"/>
              </w:rPr>
              <w:t xml:space="preserve"> reject the Null Hypothesis</w:t>
            </w:r>
            <w:r w:rsidR="00B015BF" w:rsidRPr="00B1735C">
              <w:rPr>
                <w:rFonts w:eastAsia="Times New Roman" w:cs="Times New Roman"/>
                <w:color w:val="000000"/>
              </w:rPr>
              <w:t>.</w:t>
            </w:r>
            <w:r w:rsidR="0032370A" w:rsidRPr="00B1735C">
              <w:rPr>
                <w:rFonts w:eastAsia="Times New Roman" w:cs="Times New Roman"/>
                <w:color w:val="000000"/>
              </w:rPr>
              <w:t xml:space="preserve"> </w:t>
            </w:r>
            <w:r w:rsidR="00B015BF" w:rsidRPr="00B1735C">
              <w:rPr>
                <w:rFonts w:eastAsia="Times New Roman" w:cs="Times New Roman"/>
                <w:color w:val="000000"/>
              </w:rPr>
              <w:t>T</w:t>
            </w:r>
            <w:r w:rsidR="0032370A" w:rsidRPr="00B1735C">
              <w:rPr>
                <w:rFonts w:eastAsia="Times New Roman" w:cs="Times New Roman"/>
                <w:color w:val="000000"/>
              </w:rPr>
              <w:t xml:space="preserve">he coefficient for a University’s Computer Science do not differ from 0 significantly based on this analysis. </w:t>
            </w:r>
          </w:p>
          <w:p w:rsidR="0032370A" w:rsidRPr="00B1735C" w:rsidRDefault="0032370A" w:rsidP="00D962D0">
            <w:pPr>
              <w:spacing w:after="0" w:line="240" w:lineRule="auto"/>
              <w:ind w:left="90"/>
              <w:rPr>
                <w:rFonts w:eastAsia="Times New Roman" w:cs="Times New Roman"/>
                <w:color w:val="000000"/>
              </w:rPr>
            </w:pPr>
          </w:p>
          <w:p w:rsidR="0032370A" w:rsidRPr="00B1735C" w:rsidRDefault="0032370A" w:rsidP="00D962D0">
            <w:pPr>
              <w:spacing w:after="0" w:line="240" w:lineRule="auto"/>
              <w:ind w:left="90"/>
              <w:rPr>
                <w:rFonts w:eastAsia="Times New Roman" w:cs="Times New Roman"/>
                <w:color w:val="000000"/>
              </w:rPr>
            </w:pPr>
            <w:r w:rsidRPr="00B1735C">
              <w:rPr>
                <w:rFonts w:eastAsia="Times New Roman" w:cs="Times New Roman"/>
                <w:color w:val="000000"/>
              </w:rPr>
              <w:t xml:space="preserve">Further analysis can still explore this relationship. After all, rankings in theory, would have a delay of several years before impacting growth. Perhaps rankings can be lagged 6-7 years (to give students a chance to graduate, join the work force, etc.) before being leveraged as a regressor to predict growth. </w:t>
            </w:r>
            <w:r w:rsidR="00B015BF" w:rsidRPr="00B1735C">
              <w:rPr>
                <w:rFonts w:eastAsia="Times New Roman" w:cs="Times New Roman"/>
                <w:color w:val="000000"/>
              </w:rPr>
              <w:t xml:space="preserve">Additionally, few variables exhibited a P Value below the significance level indicating they differ from 0. This may simply follow the intuition that growth variables are difficult to isolate given the range of inputs that lead to local growth. </w:t>
            </w:r>
          </w:p>
          <w:p w:rsidR="00E10536" w:rsidRPr="00B1735C" w:rsidRDefault="00E10536" w:rsidP="00EE638D">
            <w:pPr>
              <w:spacing w:after="0" w:line="240" w:lineRule="auto"/>
              <w:ind w:left="360"/>
              <w:rPr>
                <w:rFonts w:eastAsia="Times New Roman" w:cs="Times New Roman"/>
                <w:color w:val="000000"/>
              </w:rPr>
            </w:pPr>
          </w:p>
          <w:p w:rsidR="00E10536" w:rsidRPr="00B1735C" w:rsidRDefault="00E10536" w:rsidP="00EE638D">
            <w:pPr>
              <w:spacing w:after="0" w:line="240" w:lineRule="auto"/>
              <w:ind w:left="360"/>
              <w:rPr>
                <w:rFonts w:eastAsia="Times New Roman" w:cs="Times New Roman"/>
                <w:color w:val="000000"/>
              </w:rPr>
            </w:pPr>
          </w:p>
        </w:tc>
        <w:tc>
          <w:tcPr>
            <w:tcW w:w="2100"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2100"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2100"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4D7CF5" w:rsidRPr="00B1735C" w:rsidRDefault="004D7CF5" w:rsidP="004D7CF5">
            <w:pPr>
              <w:spacing w:after="0" w:line="240" w:lineRule="auto"/>
              <w:rPr>
                <w:rFonts w:eastAsia="Times New Roman" w:cs="Times New Roman"/>
                <w:color w:val="000000"/>
              </w:rPr>
            </w:pPr>
          </w:p>
          <w:p w:rsidR="00B015BF" w:rsidRPr="00B1735C" w:rsidRDefault="00B015BF" w:rsidP="004D7CF5">
            <w:pPr>
              <w:spacing w:after="0" w:line="240" w:lineRule="auto"/>
              <w:rPr>
                <w:rFonts w:eastAsia="Times New Roman" w:cs="Times New Roman"/>
                <w:color w:val="000000"/>
              </w:rPr>
            </w:pPr>
          </w:p>
          <w:p w:rsidR="00B015BF" w:rsidRPr="00B1735C" w:rsidRDefault="00B015BF" w:rsidP="004D7CF5">
            <w:pPr>
              <w:spacing w:after="0" w:line="240" w:lineRule="auto"/>
              <w:rPr>
                <w:rFonts w:eastAsia="Times New Roman" w:cs="Times New Roman"/>
                <w:color w:val="000000"/>
              </w:rPr>
            </w:pPr>
          </w:p>
          <w:p w:rsidR="00B015BF" w:rsidRPr="00B1735C" w:rsidRDefault="00B015BF" w:rsidP="004D7CF5">
            <w:pPr>
              <w:spacing w:after="0" w:line="240" w:lineRule="auto"/>
              <w:rPr>
                <w:rFonts w:eastAsia="Times New Roman" w:cs="Times New Roman"/>
                <w:color w:val="000000"/>
              </w:rPr>
            </w:pPr>
          </w:p>
          <w:p w:rsidR="00D962D0" w:rsidRPr="00B1735C" w:rsidRDefault="00D962D0" w:rsidP="004D7CF5">
            <w:pPr>
              <w:spacing w:after="0" w:line="240" w:lineRule="auto"/>
              <w:rPr>
                <w:rFonts w:eastAsia="Times New Roman" w:cs="Times New Roman"/>
                <w:color w:val="000000"/>
              </w:rPr>
            </w:pPr>
          </w:p>
          <w:p w:rsidR="00C23535" w:rsidRPr="00B1735C" w:rsidRDefault="00C23535" w:rsidP="00B015BF">
            <w:pPr>
              <w:spacing w:after="0" w:line="240" w:lineRule="auto"/>
              <w:jc w:val="center"/>
              <w:rPr>
                <w:rFonts w:eastAsia="Times New Roman" w:cs="Times New Roman"/>
                <w:color w:val="000000"/>
              </w:rPr>
            </w:pPr>
          </w:p>
          <w:p w:rsidR="00C23535" w:rsidRPr="00B1735C" w:rsidRDefault="00C23535" w:rsidP="00B015BF">
            <w:pPr>
              <w:spacing w:after="0" w:line="240" w:lineRule="auto"/>
              <w:jc w:val="center"/>
              <w:rPr>
                <w:rFonts w:eastAsia="Times New Roman" w:cs="Times New Roman"/>
                <w:color w:val="000000"/>
              </w:rPr>
            </w:pPr>
          </w:p>
          <w:p w:rsidR="00B015BF" w:rsidRPr="00B1735C" w:rsidRDefault="00B015BF" w:rsidP="00B015BF">
            <w:pPr>
              <w:spacing w:after="0" w:line="240" w:lineRule="auto"/>
              <w:jc w:val="center"/>
              <w:rPr>
                <w:rFonts w:eastAsia="Times New Roman" w:cs="Times New Roman"/>
                <w:color w:val="000000"/>
              </w:rPr>
            </w:pPr>
            <w:r w:rsidRPr="00B1735C">
              <w:rPr>
                <w:rFonts w:eastAsia="Times New Roman" w:cs="Times New Roman"/>
                <w:color w:val="000000"/>
              </w:rPr>
              <w:lastRenderedPageBreak/>
              <w:t>Attachments and Tables</w:t>
            </w:r>
          </w:p>
          <w:p w:rsidR="00B015BF" w:rsidRPr="00B1735C" w:rsidRDefault="00B015BF" w:rsidP="00B015BF">
            <w:pPr>
              <w:spacing w:after="0" w:line="240" w:lineRule="auto"/>
              <w:jc w:val="center"/>
              <w:rPr>
                <w:rFonts w:eastAsia="Times New Roman" w:cs="Times New Roman"/>
                <w:color w:val="000000"/>
              </w:rPr>
            </w:pPr>
          </w:p>
          <w:p w:rsidR="00B015BF" w:rsidRPr="00B1735C" w:rsidRDefault="00B015BF" w:rsidP="00B015BF">
            <w:pPr>
              <w:spacing w:after="0" w:line="240" w:lineRule="auto"/>
              <w:rPr>
                <w:rFonts w:eastAsia="Times New Roman" w:cs="Times New Roman"/>
                <w:color w:val="000000"/>
              </w:rPr>
            </w:pPr>
            <w:r w:rsidRPr="00B1735C">
              <w:rPr>
                <w:rFonts w:eastAsia="Times New Roman" w:cs="Times New Roman"/>
                <w:color w:val="000000"/>
              </w:rPr>
              <w:t>GDP_CITY.R – Final R Script</w:t>
            </w:r>
          </w:p>
          <w:p w:rsidR="00B015BF" w:rsidRPr="00B1735C" w:rsidRDefault="00B015BF" w:rsidP="00B015BF">
            <w:pPr>
              <w:spacing w:after="0" w:line="240" w:lineRule="auto"/>
              <w:rPr>
                <w:rFonts w:eastAsia="Times New Roman" w:cs="Times New Roman"/>
                <w:color w:val="000000"/>
              </w:rPr>
            </w:pPr>
          </w:p>
          <w:p w:rsidR="00B015BF" w:rsidRPr="00B1735C" w:rsidRDefault="00B015BF" w:rsidP="00B015BF">
            <w:pPr>
              <w:spacing w:after="0" w:line="240" w:lineRule="auto"/>
              <w:rPr>
                <w:rFonts w:eastAsia="Times New Roman" w:cs="Times New Roman"/>
                <w:color w:val="000000"/>
              </w:rPr>
            </w:pPr>
            <w:r w:rsidRPr="00B1735C">
              <w:rPr>
                <w:rFonts w:eastAsia="Times New Roman" w:cs="Times New Roman"/>
                <w:color w:val="000000"/>
              </w:rPr>
              <w:t xml:space="preserve">Variables: </w:t>
            </w:r>
          </w:p>
          <w:p w:rsidR="00B015BF" w:rsidRPr="00B1735C" w:rsidRDefault="00B015BF" w:rsidP="00B015BF">
            <w:pPr>
              <w:spacing w:after="0" w:line="240" w:lineRule="auto"/>
              <w:rPr>
                <w:rFonts w:eastAsia="Times New Roman" w:cs="Times New Roman"/>
                <w:color w:val="000000"/>
              </w:rPr>
            </w:pPr>
            <w:proofErr w:type="spellStart"/>
            <w:r w:rsidRPr="00B1735C">
              <w:rPr>
                <w:rFonts w:eastAsia="Times New Roman" w:cs="Times New Roman"/>
                <w:color w:val="000000"/>
              </w:rPr>
              <w:t>Gdp.gmm</w:t>
            </w:r>
            <w:proofErr w:type="spellEnd"/>
          </w:p>
          <w:p w:rsidR="00B015BF" w:rsidRPr="00B1735C" w:rsidRDefault="00B015BF" w:rsidP="00B015BF">
            <w:pPr>
              <w:spacing w:after="0" w:line="240" w:lineRule="auto"/>
              <w:rPr>
                <w:rFonts w:eastAsia="Times New Roman" w:cs="Times New Roman"/>
                <w:color w:val="000000"/>
              </w:rPr>
            </w:pPr>
            <w:proofErr w:type="spellStart"/>
            <w:r w:rsidRPr="00B1735C">
              <w:rPr>
                <w:rFonts w:eastAsia="Times New Roman" w:cs="Times New Roman"/>
                <w:color w:val="000000"/>
              </w:rPr>
              <w:t>Inc.gmm</w:t>
            </w:r>
            <w:proofErr w:type="spellEnd"/>
          </w:p>
          <w:p w:rsidR="00B015BF" w:rsidRPr="00B1735C" w:rsidRDefault="00B015BF" w:rsidP="00B015BF">
            <w:pPr>
              <w:spacing w:after="0" w:line="240" w:lineRule="auto"/>
              <w:rPr>
                <w:rFonts w:eastAsia="Times New Roman" w:cs="Times New Roman"/>
                <w:color w:val="000000"/>
              </w:rPr>
            </w:pPr>
            <w:proofErr w:type="spellStart"/>
            <w:r w:rsidRPr="00B1735C">
              <w:rPr>
                <w:rFonts w:eastAsia="Times New Roman" w:cs="Times New Roman"/>
                <w:color w:val="000000"/>
              </w:rPr>
              <w:t>Emp.gmm</w:t>
            </w:r>
            <w:proofErr w:type="spellEnd"/>
          </w:p>
          <w:p w:rsidR="00B015BF" w:rsidRPr="00B1735C" w:rsidRDefault="00B015BF" w:rsidP="00B015BF">
            <w:pPr>
              <w:spacing w:after="0" w:line="240" w:lineRule="auto"/>
              <w:rPr>
                <w:rFonts w:eastAsia="Times New Roman" w:cs="Times New Roman"/>
                <w:color w:val="000000"/>
              </w:rPr>
            </w:pPr>
          </w:p>
          <w:p w:rsidR="00B015BF" w:rsidRPr="00B1735C" w:rsidRDefault="00B015BF" w:rsidP="00B015BF">
            <w:pPr>
              <w:spacing w:after="0" w:line="240" w:lineRule="auto"/>
              <w:rPr>
                <w:rFonts w:eastAsia="Times New Roman" w:cs="Times New Roman"/>
                <w:color w:val="000000"/>
              </w:rPr>
            </w:pPr>
            <w:proofErr w:type="spellStart"/>
            <w:r w:rsidRPr="00B1735C">
              <w:rPr>
                <w:rFonts w:eastAsia="Times New Roman" w:cs="Times New Roman"/>
                <w:color w:val="000000"/>
              </w:rPr>
              <w:t>Gdp.gmm</w:t>
            </w:r>
            <w:r w:rsidR="00D962D0" w:rsidRPr="00B1735C">
              <w:rPr>
                <w:rFonts w:eastAsia="Times New Roman" w:cs="Times New Roman"/>
                <w:color w:val="000000"/>
              </w:rPr>
              <w:t>.r</w:t>
            </w:r>
            <w:proofErr w:type="spellEnd"/>
          </w:p>
          <w:p w:rsidR="00B015BF" w:rsidRPr="00B1735C" w:rsidRDefault="00D962D0" w:rsidP="00B015BF">
            <w:pPr>
              <w:spacing w:after="0" w:line="240" w:lineRule="auto"/>
              <w:rPr>
                <w:rFonts w:eastAsia="Times New Roman" w:cs="Times New Roman"/>
                <w:color w:val="000000"/>
              </w:rPr>
            </w:pPr>
            <w:proofErr w:type="spellStart"/>
            <w:r w:rsidRPr="00B1735C">
              <w:rPr>
                <w:rFonts w:eastAsia="Times New Roman" w:cs="Times New Roman"/>
                <w:color w:val="000000"/>
              </w:rPr>
              <w:t>Inc.gmm.r</w:t>
            </w:r>
            <w:proofErr w:type="spellEnd"/>
          </w:p>
          <w:p w:rsidR="00D962D0" w:rsidRPr="00B1735C" w:rsidRDefault="00D962D0" w:rsidP="00B015BF">
            <w:pPr>
              <w:spacing w:after="0" w:line="240" w:lineRule="auto"/>
              <w:rPr>
                <w:rFonts w:eastAsia="Times New Roman" w:cs="Times New Roman"/>
                <w:color w:val="000000"/>
              </w:rPr>
            </w:pPr>
            <w:proofErr w:type="spellStart"/>
            <w:r w:rsidRPr="00B1735C">
              <w:rPr>
                <w:rFonts w:eastAsia="Times New Roman" w:cs="Times New Roman"/>
                <w:color w:val="000000"/>
              </w:rPr>
              <w:t>Emp.gmm.r</w:t>
            </w:r>
            <w:proofErr w:type="spellEnd"/>
          </w:p>
          <w:p w:rsidR="00B015BF" w:rsidRPr="00B1735C" w:rsidRDefault="00B015BF" w:rsidP="00D962D0">
            <w:pPr>
              <w:autoSpaceDE w:val="0"/>
              <w:autoSpaceDN w:val="0"/>
              <w:adjustRightInd w:val="0"/>
              <w:spacing w:after="0" w:line="240" w:lineRule="auto"/>
              <w:rPr>
                <w:rFonts w:cs="CMR10"/>
              </w:rPr>
            </w:pPr>
          </w:p>
          <w:p w:rsidR="00D962D0" w:rsidRPr="00B1735C" w:rsidRDefault="00D962D0" w:rsidP="00D962D0">
            <w:pPr>
              <w:autoSpaceDE w:val="0"/>
              <w:autoSpaceDN w:val="0"/>
              <w:adjustRightInd w:val="0"/>
              <w:spacing w:after="0" w:line="240" w:lineRule="auto"/>
              <w:rPr>
                <w:rFonts w:cs="CMR10"/>
              </w:rPr>
            </w:pPr>
            <w:r w:rsidRPr="00B1735C">
              <w:rPr>
                <w:rFonts w:cs="CMR10"/>
              </w:rPr>
              <w:t>Data Files – ‘CITY.CSV’</w:t>
            </w:r>
          </w:p>
          <w:p w:rsidR="00D962D0" w:rsidRPr="00B1735C" w:rsidRDefault="00D962D0" w:rsidP="00D962D0">
            <w:pPr>
              <w:autoSpaceDE w:val="0"/>
              <w:autoSpaceDN w:val="0"/>
              <w:adjustRightInd w:val="0"/>
              <w:spacing w:after="0" w:line="240" w:lineRule="auto"/>
              <w:rPr>
                <w:rFonts w:cs="CMR10"/>
              </w:rPr>
            </w:pPr>
          </w:p>
          <w:p w:rsidR="00D962D0" w:rsidRPr="00B1735C" w:rsidRDefault="00D962D0" w:rsidP="00D962D0">
            <w:pPr>
              <w:autoSpaceDE w:val="0"/>
              <w:autoSpaceDN w:val="0"/>
              <w:adjustRightInd w:val="0"/>
              <w:spacing w:after="0" w:line="240" w:lineRule="auto"/>
              <w:rPr>
                <w:rFonts w:cs="CMR10"/>
              </w:rPr>
            </w:pPr>
            <w:r w:rsidRPr="00B1735C">
              <w:rPr>
                <w:rFonts w:cs="CMR10"/>
              </w:rPr>
              <w:t>‘Labels’ – ‘CITY_LABELS.xlsx’</w:t>
            </w:r>
          </w:p>
          <w:p w:rsidR="00D962D0" w:rsidRPr="00B1735C" w:rsidRDefault="00D962D0" w:rsidP="00D962D0">
            <w:pPr>
              <w:autoSpaceDE w:val="0"/>
              <w:autoSpaceDN w:val="0"/>
              <w:adjustRightInd w:val="0"/>
              <w:spacing w:after="0" w:line="240" w:lineRule="auto"/>
              <w:rPr>
                <w:rFonts w:cs="CMR10"/>
              </w:rPr>
            </w:pPr>
          </w:p>
          <w:p w:rsidR="00D962D0" w:rsidRPr="00B1735C" w:rsidRDefault="00D962D0" w:rsidP="00D962D0">
            <w:pPr>
              <w:autoSpaceDE w:val="0"/>
              <w:autoSpaceDN w:val="0"/>
              <w:adjustRightInd w:val="0"/>
              <w:spacing w:after="0" w:line="240" w:lineRule="auto"/>
              <w:rPr>
                <w:rFonts w:cs="CMR10"/>
              </w:rPr>
            </w:pPr>
            <w:r w:rsidRPr="00B1735C">
              <w:rPr>
                <w:rFonts w:cs="CMR10"/>
              </w:rPr>
              <w:t>Output of Test Statistics - OUTPUT.xlsx:</w:t>
            </w:r>
          </w:p>
          <w:p w:rsidR="00D962D0" w:rsidRPr="00B1735C" w:rsidRDefault="00D962D0" w:rsidP="00D962D0">
            <w:pPr>
              <w:autoSpaceDE w:val="0"/>
              <w:autoSpaceDN w:val="0"/>
              <w:adjustRightInd w:val="0"/>
              <w:spacing w:after="0" w:line="240" w:lineRule="auto"/>
              <w:rPr>
                <w:rFonts w:cs="CMR10"/>
              </w:rPr>
            </w:pPr>
            <w:r w:rsidRPr="00B1735C">
              <w:rPr>
                <w:rFonts w:cs="CMR10"/>
              </w:rPr>
              <w:t xml:space="preserve">Tabs – Arranged by Variable Names above. </w:t>
            </w: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D962D0" w:rsidP="00B015BF">
            <w:pPr>
              <w:autoSpaceDE w:val="0"/>
              <w:autoSpaceDN w:val="0"/>
              <w:adjustRightInd w:val="0"/>
              <w:spacing w:after="0" w:line="240" w:lineRule="auto"/>
              <w:jc w:val="center"/>
              <w:rPr>
                <w:rFonts w:cs="CMR10"/>
              </w:rPr>
            </w:pPr>
            <w:r w:rsidRPr="00B1735C">
              <w:rPr>
                <w:rFonts w:cs="CMR10"/>
              </w:rPr>
              <w:t>Re</w:t>
            </w:r>
            <w:r w:rsidR="00B015BF" w:rsidRPr="00B1735C">
              <w:rPr>
                <w:rFonts w:cs="CMR10"/>
              </w:rPr>
              <w:t>ferences</w:t>
            </w:r>
          </w:p>
          <w:p w:rsidR="00B015BF" w:rsidRPr="00B1735C" w:rsidRDefault="00B015BF" w:rsidP="00B015BF">
            <w:pPr>
              <w:autoSpaceDE w:val="0"/>
              <w:autoSpaceDN w:val="0"/>
              <w:adjustRightInd w:val="0"/>
              <w:spacing w:after="0" w:line="240" w:lineRule="auto"/>
              <w:jc w:val="center"/>
              <w:rPr>
                <w:rFonts w:cs="CMR10"/>
              </w:rPr>
            </w:pPr>
          </w:p>
          <w:p w:rsidR="00B015BF" w:rsidRPr="00B1735C" w:rsidRDefault="00B015BF" w:rsidP="00B015BF">
            <w:pPr>
              <w:autoSpaceDE w:val="0"/>
              <w:autoSpaceDN w:val="0"/>
              <w:adjustRightInd w:val="0"/>
              <w:spacing w:after="0" w:line="240" w:lineRule="auto"/>
              <w:rPr>
                <w:rFonts w:cs="CMR10"/>
              </w:rPr>
            </w:pPr>
            <w:r w:rsidRPr="00B1735C">
              <w:rPr>
                <w:rFonts w:cs="CMR10"/>
              </w:rPr>
              <w:t>Arellano M, Bond S (1991). \</w:t>
            </w:r>
            <w:r w:rsidR="00BF700D">
              <w:rPr>
                <w:rFonts w:cs="CMR10"/>
              </w:rPr>
              <w:t xml:space="preserve">Some Tests of </w:t>
            </w:r>
            <w:proofErr w:type="spellStart"/>
            <w:r w:rsidR="00BF700D">
              <w:rPr>
                <w:rFonts w:cs="CMR10"/>
              </w:rPr>
              <w:t>Speci</w:t>
            </w:r>
            <w:r w:rsidRPr="00B1735C">
              <w:rPr>
                <w:rFonts w:cs="CMR10"/>
              </w:rPr>
              <w:t>cation</w:t>
            </w:r>
            <w:proofErr w:type="spellEnd"/>
            <w:r w:rsidRPr="00B1735C">
              <w:rPr>
                <w:rFonts w:cs="CMR10"/>
              </w:rPr>
              <w:t xml:space="preserve"> for Panel </w:t>
            </w:r>
            <w:proofErr w:type="gramStart"/>
            <w:r w:rsidRPr="00B1735C">
              <w:rPr>
                <w:rFonts w:cs="CMR10"/>
              </w:rPr>
              <w:t>Data :</w:t>
            </w:r>
            <w:proofErr w:type="gramEnd"/>
            <w:r w:rsidRPr="00B1735C">
              <w:rPr>
                <w:rFonts w:cs="CMR10"/>
              </w:rPr>
              <w:t xml:space="preserve"> Monte Carlo</w:t>
            </w:r>
          </w:p>
          <w:p w:rsidR="00B015BF" w:rsidRPr="00B1735C" w:rsidRDefault="00B015BF" w:rsidP="00B015BF">
            <w:pPr>
              <w:autoSpaceDE w:val="0"/>
              <w:autoSpaceDN w:val="0"/>
              <w:adjustRightInd w:val="0"/>
              <w:spacing w:after="0" w:line="240" w:lineRule="auto"/>
              <w:rPr>
                <w:rFonts w:cs="CMR10"/>
              </w:rPr>
            </w:pPr>
            <w:r w:rsidRPr="00B1735C">
              <w:rPr>
                <w:rFonts w:cs="CMR10"/>
              </w:rPr>
              <w:t xml:space="preserve">           </w:t>
            </w:r>
            <w:r w:rsidRPr="00B1735C">
              <w:rPr>
                <w:rFonts w:cs="CMR10"/>
              </w:rPr>
              <w:t xml:space="preserve">Evidence and an Application to Employment Equations." </w:t>
            </w:r>
            <w:r w:rsidRPr="00B1735C">
              <w:rPr>
                <w:rFonts w:cs="CMTI10"/>
              </w:rPr>
              <w:t>Review of Economic Studies</w:t>
            </w:r>
            <w:r w:rsidRPr="00B1735C">
              <w:rPr>
                <w:rFonts w:cs="CMR10"/>
              </w:rPr>
              <w:t>,</w:t>
            </w:r>
          </w:p>
          <w:p w:rsidR="00B015BF" w:rsidRPr="00B1735C" w:rsidRDefault="00B015BF" w:rsidP="00B015BF">
            <w:pPr>
              <w:spacing w:after="0" w:line="240" w:lineRule="auto"/>
              <w:rPr>
                <w:rFonts w:cs="CMR10"/>
              </w:rPr>
            </w:pPr>
            <w:r w:rsidRPr="00B1735C">
              <w:rPr>
                <w:rFonts w:cs="CMBX10"/>
              </w:rPr>
              <w:t xml:space="preserve">            </w:t>
            </w:r>
            <w:r w:rsidRPr="00B1735C">
              <w:rPr>
                <w:rFonts w:cs="CMBX10"/>
              </w:rPr>
              <w:t>58</w:t>
            </w:r>
            <w:r w:rsidRPr="00B1735C">
              <w:rPr>
                <w:rFonts w:cs="CMR10"/>
              </w:rPr>
              <w:t>(2), 277{297.</w:t>
            </w:r>
          </w:p>
          <w:p w:rsidR="00B015BF" w:rsidRPr="006F5BC9" w:rsidRDefault="00B015BF" w:rsidP="004D7CF5">
            <w:pPr>
              <w:spacing w:after="0" w:line="240" w:lineRule="auto"/>
              <w:rPr>
                <w:rFonts w:eastAsia="Times New Roman" w:cs="Times New Roman"/>
                <w:color w:val="000000"/>
              </w:rPr>
            </w:pPr>
          </w:p>
        </w:tc>
        <w:tc>
          <w:tcPr>
            <w:tcW w:w="2100"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4D7CF5" w:rsidRPr="00B1735C" w:rsidRDefault="00D962D0" w:rsidP="004D7CF5">
            <w:pPr>
              <w:spacing w:after="0" w:line="240" w:lineRule="auto"/>
              <w:rPr>
                <w:rFonts w:cs="CMR10"/>
              </w:rPr>
            </w:pPr>
            <w:r w:rsidRPr="00B1735C">
              <w:rPr>
                <w:rFonts w:cs="CMR10"/>
              </w:rPr>
              <w:lastRenderedPageBreak/>
              <w:t xml:space="preserve">Croissant, </w:t>
            </w:r>
            <w:proofErr w:type="spellStart"/>
            <w:r w:rsidRPr="00B1735C">
              <w:rPr>
                <w:rFonts w:cs="CMR10"/>
              </w:rPr>
              <w:t>Millo</w:t>
            </w:r>
            <w:proofErr w:type="spellEnd"/>
            <w:r w:rsidRPr="00B1735C">
              <w:rPr>
                <w:rFonts w:cs="CMR10"/>
              </w:rPr>
              <w:t xml:space="preserve">, “Panel Data Econometrics in R: The </w:t>
            </w:r>
            <w:proofErr w:type="spellStart"/>
            <w:r w:rsidRPr="00B1735C">
              <w:rPr>
                <w:rFonts w:cs="CMR10"/>
              </w:rPr>
              <w:t>plm</w:t>
            </w:r>
            <w:proofErr w:type="spellEnd"/>
            <w:r w:rsidRPr="00B1735C">
              <w:rPr>
                <w:rFonts w:cs="CMR10"/>
              </w:rPr>
              <w:t xml:space="preserve"> Package. </w:t>
            </w:r>
            <w:bookmarkStart w:id="0" w:name="_GoBack"/>
            <w:bookmarkEnd w:id="0"/>
          </w:p>
          <w:p w:rsidR="00D962D0" w:rsidRPr="006F5BC9" w:rsidRDefault="00D962D0" w:rsidP="004D7CF5">
            <w:pPr>
              <w:spacing w:after="0" w:line="240" w:lineRule="auto"/>
              <w:rPr>
                <w:rFonts w:eastAsia="Times New Roman" w:cs="Times New Roman"/>
                <w:color w:val="000000"/>
              </w:rPr>
            </w:pPr>
          </w:p>
        </w:tc>
        <w:tc>
          <w:tcPr>
            <w:tcW w:w="2100"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eastAsia="Times New Roman" w:cs="Times New Roman"/>
                <w:color w:val="000000"/>
              </w:rPr>
            </w:pPr>
          </w:p>
        </w:tc>
      </w:tr>
      <w:tr w:rsidR="004D7CF5" w:rsidRPr="006F5BC9" w:rsidTr="00E10536">
        <w:trPr>
          <w:trHeight w:val="435"/>
        </w:trPr>
        <w:tc>
          <w:tcPr>
            <w:tcW w:w="9918" w:type="dxa"/>
            <w:tcBorders>
              <w:top w:val="nil"/>
              <w:left w:val="nil"/>
              <w:bottom w:val="nil"/>
              <w:right w:val="nil"/>
            </w:tcBorders>
            <w:shd w:val="clear" w:color="auto" w:fill="auto"/>
            <w:noWrap/>
            <w:vAlign w:val="bottom"/>
          </w:tcPr>
          <w:p w:rsidR="00D962D0" w:rsidRPr="00B1735C" w:rsidRDefault="00B015BF" w:rsidP="004D7CF5">
            <w:pPr>
              <w:spacing w:after="0" w:line="240" w:lineRule="auto"/>
              <w:rPr>
                <w:rFonts w:cs="CMR10"/>
              </w:rPr>
            </w:pPr>
            <w:proofErr w:type="spellStart"/>
            <w:r w:rsidRPr="00B1735C">
              <w:rPr>
                <w:rFonts w:cs="CMR10"/>
              </w:rPr>
              <w:t>Glaeser</w:t>
            </w:r>
            <w:proofErr w:type="spellEnd"/>
            <w:r w:rsidRPr="00B1735C">
              <w:rPr>
                <w:rFonts w:cs="CMR10"/>
              </w:rPr>
              <w:t>, Edward. “The Rise of the Skilled City.”</w:t>
            </w:r>
            <w:r w:rsidR="00D962D0" w:rsidRPr="00B1735C">
              <w:rPr>
                <w:rFonts w:cs="CMR10"/>
              </w:rPr>
              <w:t xml:space="preserve"> </w:t>
            </w:r>
          </w:p>
          <w:p w:rsidR="004D7CF5" w:rsidRPr="006F5BC9" w:rsidRDefault="00D962D0" w:rsidP="00D962D0">
            <w:pPr>
              <w:spacing w:after="0" w:line="240" w:lineRule="auto"/>
              <w:rPr>
                <w:rFonts w:cs="CMR10"/>
              </w:rPr>
            </w:pPr>
            <w:r w:rsidRPr="00B1735C">
              <w:rPr>
                <w:rFonts w:cs="CMR10"/>
              </w:rPr>
              <w:t xml:space="preserve">     </w:t>
            </w:r>
            <w:r w:rsidR="00B1735C">
              <w:rPr>
                <w:rFonts w:cs="CMR10"/>
              </w:rPr>
              <w:t xml:space="preserve">    </w:t>
            </w:r>
            <w:r w:rsidRPr="00B1735C">
              <w:rPr>
                <w:rFonts w:cs="CMR10"/>
              </w:rPr>
              <w:t xml:space="preserve">  </w:t>
            </w:r>
            <w:hyperlink r:id="rId5" w:history="1">
              <w:r w:rsidR="00B015BF" w:rsidRPr="00B1735C">
                <w:rPr>
                  <w:rFonts w:cs="CMR10"/>
                </w:rPr>
                <w:t>http://whartonrealestate.org/research/papers/full/446.pdf</w:t>
              </w:r>
            </w:hyperlink>
            <w:r w:rsidR="00B015BF" w:rsidRPr="00B1735C">
              <w:rPr>
                <w:rFonts w:cs="CMR10"/>
              </w:rPr>
              <w:t xml:space="preserve"> </w:t>
            </w:r>
            <w:r w:rsidRPr="00B1735C">
              <w:rPr>
                <w:rFonts w:cs="CMR10"/>
              </w:rPr>
              <w:t xml:space="preserve"> </w:t>
            </w:r>
            <w:r w:rsidR="00B015BF" w:rsidRPr="00B1735C">
              <w:rPr>
                <w:rFonts w:cs="CMR10"/>
              </w:rPr>
              <w:t>2003</w:t>
            </w:r>
          </w:p>
        </w:tc>
        <w:tc>
          <w:tcPr>
            <w:tcW w:w="2100" w:type="dxa"/>
            <w:tcBorders>
              <w:top w:val="nil"/>
              <w:left w:val="nil"/>
              <w:bottom w:val="nil"/>
              <w:right w:val="nil"/>
            </w:tcBorders>
            <w:shd w:val="clear" w:color="auto" w:fill="auto"/>
            <w:noWrap/>
            <w:vAlign w:val="bottom"/>
          </w:tcPr>
          <w:p w:rsidR="004D7CF5" w:rsidRPr="00B1735C" w:rsidRDefault="004D7CF5" w:rsidP="004D7CF5">
            <w:pPr>
              <w:spacing w:after="0" w:line="240" w:lineRule="auto"/>
              <w:rPr>
                <w:rFonts w:cs="CMR10"/>
              </w:rPr>
            </w:pPr>
          </w:p>
          <w:p w:rsidR="00D962D0" w:rsidRPr="006F5BC9" w:rsidRDefault="00D962D0" w:rsidP="004D7CF5">
            <w:pPr>
              <w:spacing w:after="0" w:line="240" w:lineRule="auto"/>
              <w:rPr>
                <w:rFonts w:cs="CMR10"/>
              </w:rPr>
            </w:pPr>
          </w:p>
        </w:tc>
        <w:tc>
          <w:tcPr>
            <w:tcW w:w="7018" w:type="dxa"/>
            <w:tcBorders>
              <w:top w:val="nil"/>
              <w:left w:val="nil"/>
              <w:bottom w:val="nil"/>
              <w:right w:val="nil"/>
            </w:tcBorders>
            <w:shd w:val="clear" w:color="auto" w:fill="auto"/>
            <w:noWrap/>
            <w:vAlign w:val="bottom"/>
          </w:tcPr>
          <w:p w:rsidR="004D7CF5" w:rsidRPr="006F5BC9" w:rsidRDefault="004D7CF5" w:rsidP="004D7CF5">
            <w:pPr>
              <w:spacing w:after="0" w:line="240" w:lineRule="auto"/>
              <w:rPr>
                <w:rFonts w:cs="CMR10"/>
              </w:rPr>
            </w:pPr>
          </w:p>
        </w:tc>
      </w:tr>
    </w:tbl>
    <w:p w:rsidR="00D962D0" w:rsidRPr="00B1735C" w:rsidRDefault="00D962D0" w:rsidP="00D962D0">
      <w:pPr>
        <w:spacing w:after="0" w:line="240" w:lineRule="auto"/>
        <w:rPr>
          <w:rFonts w:cs="CMR10"/>
        </w:rPr>
      </w:pPr>
    </w:p>
    <w:p w:rsidR="00D962D0" w:rsidRPr="00B1735C" w:rsidRDefault="00D962D0" w:rsidP="00D962D0">
      <w:pPr>
        <w:spacing w:after="0" w:line="240" w:lineRule="auto"/>
        <w:rPr>
          <w:rFonts w:cs="CMR10"/>
        </w:rPr>
      </w:pPr>
    </w:p>
    <w:p w:rsidR="00B948FA" w:rsidRPr="00B1735C" w:rsidRDefault="00D962D0" w:rsidP="00D962D0">
      <w:pPr>
        <w:spacing w:line="480" w:lineRule="auto"/>
      </w:pPr>
      <w:r w:rsidRPr="00B1735C">
        <w:rPr>
          <w:rFonts w:cs="CMR10"/>
        </w:rPr>
        <w:t xml:space="preserve">Greene W (2003). </w:t>
      </w:r>
      <w:r w:rsidRPr="00B1735C">
        <w:rPr>
          <w:rFonts w:cs="CMTI10"/>
        </w:rPr>
        <w:t>Econometric Analysis</w:t>
      </w:r>
      <w:r w:rsidRPr="00B1735C">
        <w:rPr>
          <w:rFonts w:cs="CMR10"/>
        </w:rPr>
        <w:t>. 5th edition. Prentice Hall.</w:t>
      </w:r>
    </w:p>
    <w:p w:rsidR="00B1735C" w:rsidRPr="00B1735C" w:rsidRDefault="00C23535" w:rsidP="00B1735C">
      <w:pPr>
        <w:spacing w:after="0" w:line="240" w:lineRule="auto"/>
        <w:rPr>
          <w:rFonts w:cs="CMR10"/>
        </w:rPr>
      </w:pPr>
      <w:r w:rsidRPr="00B1735C">
        <w:rPr>
          <w:rFonts w:cs="CMR10"/>
        </w:rPr>
        <w:t xml:space="preserve">Moore, Stinson, </w:t>
      </w:r>
      <w:proofErr w:type="spellStart"/>
      <w:r w:rsidRPr="00B1735C">
        <w:rPr>
          <w:rFonts w:cs="CMR10"/>
        </w:rPr>
        <w:t>Welniak</w:t>
      </w:r>
      <w:proofErr w:type="spellEnd"/>
      <w:r w:rsidRPr="00B1735C">
        <w:rPr>
          <w:rFonts w:cs="CMR10"/>
        </w:rPr>
        <w:t xml:space="preserve">. “Income Measurement Error in Surveys: A Review.”          </w:t>
      </w:r>
      <w:r w:rsidRPr="00B1735C">
        <w:rPr>
          <w:rFonts w:cs="CMR10"/>
        </w:rPr>
        <w:tab/>
        <w:t xml:space="preserve">          </w:t>
      </w:r>
      <w:r w:rsidR="00B1735C" w:rsidRPr="00B1735C">
        <w:rPr>
          <w:rFonts w:cs="CMR10"/>
        </w:rPr>
        <w:t xml:space="preserve"> </w:t>
      </w:r>
    </w:p>
    <w:p w:rsidR="00D962D0" w:rsidRPr="00B1735C" w:rsidRDefault="00C23535" w:rsidP="00B1735C">
      <w:pPr>
        <w:spacing w:after="0" w:line="240" w:lineRule="auto"/>
        <w:ind w:left="720"/>
        <w:rPr>
          <w:rFonts w:cs="CMR10"/>
        </w:rPr>
      </w:pPr>
      <w:r w:rsidRPr="00B1735C">
        <w:rPr>
          <w:rFonts w:cs="CMR10"/>
        </w:rPr>
        <w:t>https://www.census.gov/srd/papers/pdf/sm97-05.pdf</w:t>
      </w:r>
    </w:p>
    <w:p w:rsidR="00B948FA" w:rsidRPr="00B1735C" w:rsidRDefault="00B948FA" w:rsidP="00C34E0F">
      <w:pPr>
        <w:spacing w:line="480" w:lineRule="auto"/>
      </w:pPr>
    </w:p>
    <w:p w:rsidR="00DE3CAA" w:rsidRPr="00B1735C" w:rsidRDefault="00DE3CAA" w:rsidP="00C34E0F">
      <w:pPr>
        <w:spacing w:line="480" w:lineRule="auto"/>
      </w:pPr>
      <w:r w:rsidRPr="00B1735C">
        <w:t xml:space="preserve">  </w:t>
      </w:r>
    </w:p>
    <w:sectPr w:rsidR="00DE3CAA" w:rsidRPr="00B17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F4C86"/>
    <w:multiLevelType w:val="hybridMultilevel"/>
    <w:tmpl w:val="347870EE"/>
    <w:lvl w:ilvl="0" w:tplc="322AE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0F"/>
    <w:rsid w:val="00004AC4"/>
    <w:rsid w:val="00017081"/>
    <w:rsid w:val="00020601"/>
    <w:rsid w:val="00021067"/>
    <w:rsid w:val="00023261"/>
    <w:rsid w:val="000235A1"/>
    <w:rsid w:val="00026405"/>
    <w:rsid w:val="00032568"/>
    <w:rsid w:val="0003395B"/>
    <w:rsid w:val="00036FE3"/>
    <w:rsid w:val="000379CD"/>
    <w:rsid w:val="00045C75"/>
    <w:rsid w:val="0005137C"/>
    <w:rsid w:val="00055FB5"/>
    <w:rsid w:val="000659B4"/>
    <w:rsid w:val="00067D54"/>
    <w:rsid w:val="00070054"/>
    <w:rsid w:val="0007326D"/>
    <w:rsid w:val="00074A47"/>
    <w:rsid w:val="00075B2F"/>
    <w:rsid w:val="000761A8"/>
    <w:rsid w:val="0007752A"/>
    <w:rsid w:val="00084673"/>
    <w:rsid w:val="00086B75"/>
    <w:rsid w:val="00090B0A"/>
    <w:rsid w:val="000913C1"/>
    <w:rsid w:val="00091444"/>
    <w:rsid w:val="00094158"/>
    <w:rsid w:val="00096C91"/>
    <w:rsid w:val="000A0334"/>
    <w:rsid w:val="000A37BD"/>
    <w:rsid w:val="000A5F3F"/>
    <w:rsid w:val="000B2A82"/>
    <w:rsid w:val="000B35BD"/>
    <w:rsid w:val="000B7C44"/>
    <w:rsid w:val="000C283B"/>
    <w:rsid w:val="000C43CB"/>
    <w:rsid w:val="000C7CBD"/>
    <w:rsid w:val="000D2A12"/>
    <w:rsid w:val="000D32C2"/>
    <w:rsid w:val="000D3BE2"/>
    <w:rsid w:val="000D563F"/>
    <w:rsid w:val="000D6873"/>
    <w:rsid w:val="000E1B65"/>
    <w:rsid w:val="000E27AE"/>
    <w:rsid w:val="000E79A3"/>
    <w:rsid w:val="000F515C"/>
    <w:rsid w:val="000F67E5"/>
    <w:rsid w:val="00100558"/>
    <w:rsid w:val="0010301B"/>
    <w:rsid w:val="0010376B"/>
    <w:rsid w:val="00106420"/>
    <w:rsid w:val="00110F04"/>
    <w:rsid w:val="00113976"/>
    <w:rsid w:val="00123CA1"/>
    <w:rsid w:val="00123CC1"/>
    <w:rsid w:val="00127753"/>
    <w:rsid w:val="00130486"/>
    <w:rsid w:val="00131FDD"/>
    <w:rsid w:val="00133EBE"/>
    <w:rsid w:val="001370C8"/>
    <w:rsid w:val="00147176"/>
    <w:rsid w:val="00163F90"/>
    <w:rsid w:val="0016642A"/>
    <w:rsid w:val="00183730"/>
    <w:rsid w:val="00183A02"/>
    <w:rsid w:val="001841B4"/>
    <w:rsid w:val="0019256D"/>
    <w:rsid w:val="001A1265"/>
    <w:rsid w:val="001A3B73"/>
    <w:rsid w:val="001A7A93"/>
    <w:rsid w:val="001B3142"/>
    <w:rsid w:val="001C7838"/>
    <w:rsid w:val="001D057F"/>
    <w:rsid w:val="001D3131"/>
    <w:rsid w:val="001D5349"/>
    <w:rsid w:val="001D6098"/>
    <w:rsid w:val="001E379C"/>
    <w:rsid w:val="001E3F4C"/>
    <w:rsid w:val="001F1215"/>
    <w:rsid w:val="001F3339"/>
    <w:rsid w:val="00204E19"/>
    <w:rsid w:val="0020672C"/>
    <w:rsid w:val="00206F3A"/>
    <w:rsid w:val="00207184"/>
    <w:rsid w:val="002123AB"/>
    <w:rsid w:val="00215A7B"/>
    <w:rsid w:val="00215F30"/>
    <w:rsid w:val="0021742C"/>
    <w:rsid w:val="002231D0"/>
    <w:rsid w:val="00225AFE"/>
    <w:rsid w:val="00226C91"/>
    <w:rsid w:val="00231D14"/>
    <w:rsid w:val="0023549E"/>
    <w:rsid w:val="00243E59"/>
    <w:rsid w:val="00245C3D"/>
    <w:rsid w:val="002460C3"/>
    <w:rsid w:val="0026167D"/>
    <w:rsid w:val="00262CAE"/>
    <w:rsid w:val="00264908"/>
    <w:rsid w:val="00272DBF"/>
    <w:rsid w:val="00275B25"/>
    <w:rsid w:val="00283A2A"/>
    <w:rsid w:val="00283F55"/>
    <w:rsid w:val="00290C30"/>
    <w:rsid w:val="002928EC"/>
    <w:rsid w:val="00294A5B"/>
    <w:rsid w:val="002A2794"/>
    <w:rsid w:val="002A3667"/>
    <w:rsid w:val="002A7F27"/>
    <w:rsid w:val="002B0B03"/>
    <w:rsid w:val="002C1235"/>
    <w:rsid w:val="002C37D8"/>
    <w:rsid w:val="002C5322"/>
    <w:rsid w:val="002D015D"/>
    <w:rsid w:val="002D15E1"/>
    <w:rsid w:val="002D5C52"/>
    <w:rsid w:val="002D73EA"/>
    <w:rsid w:val="002E23F8"/>
    <w:rsid w:val="002E3E20"/>
    <w:rsid w:val="002E4706"/>
    <w:rsid w:val="002F0299"/>
    <w:rsid w:val="002F5163"/>
    <w:rsid w:val="002F5FEB"/>
    <w:rsid w:val="00301BF2"/>
    <w:rsid w:val="00304A2C"/>
    <w:rsid w:val="00307F91"/>
    <w:rsid w:val="0032044C"/>
    <w:rsid w:val="0032370A"/>
    <w:rsid w:val="00336E12"/>
    <w:rsid w:val="003552F9"/>
    <w:rsid w:val="00356035"/>
    <w:rsid w:val="00362E03"/>
    <w:rsid w:val="0036597A"/>
    <w:rsid w:val="003678B0"/>
    <w:rsid w:val="003701E4"/>
    <w:rsid w:val="003732BD"/>
    <w:rsid w:val="00380BE4"/>
    <w:rsid w:val="003845CC"/>
    <w:rsid w:val="003847D5"/>
    <w:rsid w:val="00392DEA"/>
    <w:rsid w:val="003A023F"/>
    <w:rsid w:val="003A4B95"/>
    <w:rsid w:val="003B2C58"/>
    <w:rsid w:val="003C2798"/>
    <w:rsid w:val="003C37FF"/>
    <w:rsid w:val="003C5CD0"/>
    <w:rsid w:val="003D11B7"/>
    <w:rsid w:val="003D6128"/>
    <w:rsid w:val="003D66F7"/>
    <w:rsid w:val="003E004A"/>
    <w:rsid w:val="003E36B0"/>
    <w:rsid w:val="003E3ED7"/>
    <w:rsid w:val="003E6A7F"/>
    <w:rsid w:val="00401AC1"/>
    <w:rsid w:val="00402BB5"/>
    <w:rsid w:val="004032A4"/>
    <w:rsid w:val="00403907"/>
    <w:rsid w:val="00414EA1"/>
    <w:rsid w:val="00420FEF"/>
    <w:rsid w:val="00421943"/>
    <w:rsid w:val="00421BEC"/>
    <w:rsid w:val="00422D48"/>
    <w:rsid w:val="0042336A"/>
    <w:rsid w:val="00423679"/>
    <w:rsid w:val="00423CEA"/>
    <w:rsid w:val="00435599"/>
    <w:rsid w:val="00442CDC"/>
    <w:rsid w:val="00444375"/>
    <w:rsid w:val="004478F6"/>
    <w:rsid w:val="00462A3C"/>
    <w:rsid w:val="00462E1D"/>
    <w:rsid w:val="0046519E"/>
    <w:rsid w:val="004664DD"/>
    <w:rsid w:val="0047284D"/>
    <w:rsid w:val="0047301B"/>
    <w:rsid w:val="004753AA"/>
    <w:rsid w:val="00487520"/>
    <w:rsid w:val="0049357A"/>
    <w:rsid w:val="004968B7"/>
    <w:rsid w:val="004A1F08"/>
    <w:rsid w:val="004A272C"/>
    <w:rsid w:val="004A4655"/>
    <w:rsid w:val="004A7482"/>
    <w:rsid w:val="004B6A4C"/>
    <w:rsid w:val="004C2269"/>
    <w:rsid w:val="004C57B1"/>
    <w:rsid w:val="004D5C00"/>
    <w:rsid w:val="004D7CF5"/>
    <w:rsid w:val="004D7FD2"/>
    <w:rsid w:val="004E3AE3"/>
    <w:rsid w:val="004E40FD"/>
    <w:rsid w:val="004E4BD2"/>
    <w:rsid w:val="004E5E44"/>
    <w:rsid w:val="00500499"/>
    <w:rsid w:val="005025E3"/>
    <w:rsid w:val="00511F4D"/>
    <w:rsid w:val="005231A3"/>
    <w:rsid w:val="005444F3"/>
    <w:rsid w:val="00552D8B"/>
    <w:rsid w:val="0055587A"/>
    <w:rsid w:val="00561FAE"/>
    <w:rsid w:val="00572A3A"/>
    <w:rsid w:val="005757E2"/>
    <w:rsid w:val="00575C5C"/>
    <w:rsid w:val="00576FD9"/>
    <w:rsid w:val="00583530"/>
    <w:rsid w:val="005854D2"/>
    <w:rsid w:val="00586D52"/>
    <w:rsid w:val="00591D6E"/>
    <w:rsid w:val="0059448C"/>
    <w:rsid w:val="005959E8"/>
    <w:rsid w:val="005A1085"/>
    <w:rsid w:val="005A1808"/>
    <w:rsid w:val="005A5D5D"/>
    <w:rsid w:val="005A7FCC"/>
    <w:rsid w:val="005B26B3"/>
    <w:rsid w:val="005C2B36"/>
    <w:rsid w:val="005D231D"/>
    <w:rsid w:val="005D6E2A"/>
    <w:rsid w:val="005D7A6A"/>
    <w:rsid w:val="005E1BA5"/>
    <w:rsid w:val="005E1C2D"/>
    <w:rsid w:val="005E27FE"/>
    <w:rsid w:val="005E3B69"/>
    <w:rsid w:val="005E4811"/>
    <w:rsid w:val="005E6B99"/>
    <w:rsid w:val="005F12EE"/>
    <w:rsid w:val="00612D1E"/>
    <w:rsid w:val="006154C5"/>
    <w:rsid w:val="00616F0D"/>
    <w:rsid w:val="0061728F"/>
    <w:rsid w:val="006305F1"/>
    <w:rsid w:val="00633986"/>
    <w:rsid w:val="006534D2"/>
    <w:rsid w:val="006549F9"/>
    <w:rsid w:val="00654DB1"/>
    <w:rsid w:val="00664B8C"/>
    <w:rsid w:val="006651F1"/>
    <w:rsid w:val="006674B8"/>
    <w:rsid w:val="00667F77"/>
    <w:rsid w:val="00670A38"/>
    <w:rsid w:val="006715EF"/>
    <w:rsid w:val="006806C1"/>
    <w:rsid w:val="00682CAA"/>
    <w:rsid w:val="00683328"/>
    <w:rsid w:val="00683B76"/>
    <w:rsid w:val="00686EAA"/>
    <w:rsid w:val="006914B3"/>
    <w:rsid w:val="00697BB7"/>
    <w:rsid w:val="006A0BB5"/>
    <w:rsid w:val="006A25CF"/>
    <w:rsid w:val="006B48D6"/>
    <w:rsid w:val="006B4A32"/>
    <w:rsid w:val="006B664B"/>
    <w:rsid w:val="006B698A"/>
    <w:rsid w:val="006B7346"/>
    <w:rsid w:val="006B788F"/>
    <w:rsid w:val="006B78EB"/>
    <w:rsid w:val="006C04FC"/>
    <w:rsid w:val="006C214E"/>
    <w:rsid w:val="006C24C7"/>
    <w:rsid w:val="006C6104"/>
    <w:rsid w:val="006E0DAC"/>
    <w:rsid w:val="006E222D"/>
    <w:rsid w:val="006F2664"/>
    <w:rsid w:val="006F331E"/>
    <w:rsid w:val="006F3C5A"/>
    <w:rsid w:val="006F3D9E"/>
    <w:rsid w:val="006F5BC9"/>
    <w:rsid w:val="00703A50"/>
    <w:rsid w:val="00703A8D"/>
    <w:rsid w:val="00705841"/>
    <w:rsid w:val="00707A27"/>
    <w:rsid w:val="00715792"/>
    <w:rsid w:val="00725977"/>
    <w:rsid w:val="0073594B"/>
    <w:rsid w:val="00743B79"/>
    <w:rsid w:val="00750313"/>
    <w:rsid w:val="00753753"/>
    <w:rsid w:val="00761DBA"/>
    <w:rsid w:val="00764632"/>
    <w:rsid w:val="00770FB4"/>
    <w:rsid w:val="007741F7"/>
    <w:rsid w:val="00775E96"/>
    <w:rsid w:val="00777A12"/>
    <w:rsid w:val="00786FB4"/>
    <w:rsid w:val="00792482"/>
    <w:rsid w:val="00795141"/>
    <w:rsid w:val="00796A43"/>
    <w:rsid w:val="00796F0A"/>
    <w:rsid w:val="00797220"/>
    <w:rsid w:val="007A319C"/>
    <w:rsid w:val="007B5FD3"/>
    <w:rsid w:val="007C3933"/>
    <w:rsid w:val="007C4AF2"/>
    <w:rsid w:val="007D11A4"/>
    <w:rsid w:val="007D1BB2"/>
    <w:rsid w:val="007E1DF5"/>
    <w:rsid w:val="007E5DE5"/>
    <w:rsid w:val="007E614B"/>
    <w:rsid w:val="007E7087"/>
    <w:rsid w:val="007F1AA8"/>
    <w:rsid w:val="007F1CD8"/>
    <w:rsid w:val="0080641F"/>
    <w:rsid w:val="0081538D"/>
    <w:rsid w:val="00822EDB"/>
    <w:rsid w:val="008307C3"/>
    <w:rsid w:val="0083180F"/>
    <w:rsid w:val="0083462F"/>
    <w:rsid w:val="00845DCF"/>
    <w:rsid w:val="00847072"/>
    <w:rsid w:val="00851382"/>
    <w:rsid w:val="008532B4"/>
    <w:rsid w:val="00856395"/>
    <w:rsid w:val="00856F49"/>
    <w:rsid w:val="00860888"/>
    <w:rsid w:val="00862438"/>
    <w:rsid w:val="008653CA"/>
    <w:rsid w:val="00871A7C"/>
    <w:rsid w:val="00873004"/>
    <w:rsid w:val="0087748C"/>
    <w:rsid w:val="00880E5C"/>
    <w:rsid w:val="00883440"/>
    <w:rsid w:val="00884B16"/>
    <w:rsid w:val="00892179"/>
    <w:rsid w:val="008B10A1"/>
    <w:rsid w:val="008B2B1D"/>
    <w:rsid w:val="008B5E48"/>
    <w:rsid w:val="008C0E5B"/>
    <w:rsid w:val="008C2B45"/>
    <w:rsid w:val="008C46BC"/>
    <w:rsid w:val="008D096B"/>
    <w:rsid w:val="008E1C24"/>
    <w:rsid w:val="008E20F8"/>
    <w:rsid w:val="008E3268"/>
    <w:rsid w:val="008E3AE9"/>
    <w:rsid w:val="008E6711"/>
    <w:rsid w:val="008E7507"/>
    <w:rsid w:val="008F14C5"/>
    <w:rsid w:val="008F3C3A"/>
    <w:rsid w:val="00901684"/>
    <w:rsid w:val="009062B8"/>
    <w:rsid w:val="0090681C"/>
    <w:rsid w:val="00916253"/>
    <w:rsid w:val="009201D6"/>
    <w:rsid w:val="00923BCF"/>
    <w:rsid w:val="00923E9C"/>
    <w:rsid w:val="00924EA2"/>
    <w:rsid w:val="009250D4"/>
    <w:rsid w:val="009346B7"/>
    <w:rsid w:val="009346EA"/>
    <w:rsid w:val="00937A17"/>
    <w:rsid w:val="00941DFB"/>
    <w:rsid w:val="00950CA3"/>
    <w:rsid w:val="00950F6B"/>
    <w:rsid w:val="00961F22"/>
    <w:rsid w:val="00966DBE"/>
    <w:rsid w:val="009716BF"/>
    <w:rsid w:val="009837D7"/>
    <w:rsid w:val="00984CF9"/>
    <w:rsid w:val="00995463"/>
    <w:rsid w:val="009A2390"/>
    <w:rsid w:val="009A24A8"/>
    <w:rsid w:val="009A7195"/>
    <w:rsid w:val="009A735E"/>
    <w:rsid w:val="009B0FD5"/>
    <w:rsid w:val="009B1B62"/>
    <w:rsid w:val="009C32C4"/>
    <w:rsid w:val="009D1EC9"/>
    <w:rsid w:val="009E0C8B"/>
    <w:rsid w:val="009E3407"/>
    <w:rsid w:val="009F65E9"/>
    <w:rsid w:val="009F6E2B"/>
    <w:rsid w:val="00A002F7"/>
    <w:rsid w:val="00A05C72"/>
    <w:rsid w:val="00A06CE7"/>
    <w:rsid w:val="00A22275"/>
    <w:rsid w:val="00A31919"/>
    <w:rsid w:val="00A40411"/>
    <w:rsid w:val="00A42C35"/>
    <w:rsid w:val="00A4695D"/>
    <w:rsid w:val="00A5006E"/>
    <w:rsid w:val="00A529C1"/>
    <w:rsid w:val="00A54B91"/>
    <w:rsid w:val="00A609E4"/>
    <w:rsid w:val="00A60EAE"/>
    <w:rsid w:val="00A6303E"/>
    <w:rsid w:val="00A65A1A"/>
    <w:rsid w:val="00A6625C"/>
    <w:rsid w:val="00A67EE0"/>
    <w:rsid w:val="00A71C52"/>
    <w:rsid w:val="00A853FE"/>
    <w:rsid w:val="00A97E16"/>
    <w:rsid w:val="00AA2572"/>
    <w:rsid w:val="00AA55AE"/>
    <w:rsid w:val="00AB0230"/>
    <w:rsid w:val="00AB5252"/>
    <w:rsid w:val="00AC154E"/>
    <w:rsid w:val="00AC6486"/>
    <w:rsid w:val="00AD04BE"/>
    <w:rsid w:val="00AD0CF2"/>
    <w:rsid w:val="00AD2243"/>
    <w:rsid w:val="00AE4352"/>
    <w:rsid w:val="00AF4DF2"/>
    <w:rsid w:val="00AF6C6A"/>
    <w:rsid w:val="00B015BF"/>
    <w:rsid w:val="00B020C7"/>
    <w:rsid w:val="00B025AC"/>
    <w:rsid w:val="00B074AA"/>
    <w:rsid w:val="00B107EB"/>
    <w:rsid w:val="00B11D62"/>
    <w:rsid w:val="00B12497"/>
    <w:rsid w:val="00B149E0"/>
    <w:rsid w:val="00B1735C"/>
    <w:rsid w:val="00B17B3A"/>
    <w:rsid w:val="00B230AF"/>
    <w:rsid w:val="00B25C20"/>
    <w:rsid w:val="00B3081E"/>
    <w:rsid w:val="00B323BC"/>
    <w:rsid w:val="00B40D72"/>
    <w:rsid w:val="00B4509D"/>
    <w:rsid w:val="00B46143"/>
    <w:rsid w:val="00B47F44"/>
    <w:rsid w:val="00B61CB1"/>
    <w:rsid w:val="00B63594"/>
    <w:rsid w:val="00B72A3B"/>
    <w:rsid w:val="00B72D5D"/>
    <w:rsid w:val="00B90603"/>
    <w:rsid w:val="00B91613"/>
    <w:rsid w:val="00B948FA"/>
    <w:rsid w:val="00BB24FB"/>
    <w:rsid w:val="00BC225C"/>
    <w:rsid w:val="00BC4CF8"/>
    <w:rsid w:val="00BC584D"/>
    <w:rsid w:val="00BE10A6"/>
    <w:rsid w:val="00BE2F86"/>
    <w:rsid w:val="00BE5AAD"/>
    <w:rsid w:val="00BE6335"/>
    <w:rsid w:val="00BE66CF"/>
    <w:rsid w:val="00BE6AFB"/>
    <w:rsid w:val="00BE7F64"/>
    <w:rsid w:val="00BF1C0D"/>
    <w:rsid w:val="00BF3554"/>
    <w:rsid w:val="00BF4803"/>
    <w:rsid w:val="00BF700D"/>
    <w:rsid w:val="00C11D7E"/>
    <w:rsid w:val="00C136B5"/>
    <w:rsid w:val="00C21ED8"/>
    <w:rsid w:val="00C23535"/>
    <w:rsid w:val="00C2396D"/>
    <w:rsid w:val="00C24107"/>
    <w:rsid w:val="00C31668"/>
    <w:rsid w:val="00C33176"/>
    <w:rsid w:val="00C34E0F"/>
    <w:rsid w:val="00C35F34"/>
    <w:rsid w:val="00C3766F"/>
    <w:rsid w:val="00C41540"/>
    <w:rsid w:val="00C42C55"/>
    <w:rsid w:val="00C56CC6"/>
    <w:rsid w:val="00C57378"/>
    <w:rsid w:val="00C6018C"/>
    <w:rsid w:val="00C61BDE"/>
    <w:rsid w:val="00C65E89"/>
    <w:rsid w:val="00C72BEF"/>
    <w:rsid w:val="00C73495"/>
    <w:rsid w:val="00C81E90"/>
    <w:rsid w:val="00C87A25"/>
    <w:rsid w:val="00C94EB0"/>
    <w:rsid w:val="00C9516A"/>
    <w:rsid w:val="00C95431"/>
    <w:rsid w:val="00CA0653"/>
    <w:rsid w:val="00CA08F1"/>
    <w:rsid w:val="00CB1CBD"/>
    <w:rsid w:val="00CC054F"/>
    <w:rsid w:val="00CC1303"/>
    <w:rsid w:val="00CC4266"/>
    <w:rsid w:val="00CE1177"/>
    <w:rsid w:val="00CF09DD"/>
    <w:rsid w:val="00CF2D27"/>
    <w:rsid w:val="00CF69AB"/>
    <w:rsid w:val="00D13049"/>
    <w:rsid w:val="00D166AB"/>
    <w:rsid w:val="00D16B09"/>
    <w:rsid w:val="00D21217"/>
    <w:rsid w:val="00D248C1"/>
    <w:rsid w:val="00D25D58"/>
    <w:rsid w:val="00D37472"/>
    <w:rsid w:val="00D45488"/>
    <w:rsid w:val="00D45A5F"/>
    <w:rsid w:val="00D50A87"/>
    <w:rsid w:val="00D55C22"/>
    <w:rsid w:val="00D63D4A"/>
    <w:rsid w:val="00D67B35"/>
    <w:rsid w:val="00D80318"/>
    <w:rsid w:val="00D85406"/>
    <w:rsid w:val="00D8593A"/>
    <w:rsid w:val="00D87B54"/>
    <w:rsid w:val="00D93678"/>
    <w:rsid w:val="00D96134"/>
    <w:rsid w:val="00D962D0"/>
    <w:rsid w:val="00DA5912"/>
    <w:rsid w:val="00DB6DD0"/>
    <w:rsid w:val="00DB7341"/>
    <w:rsid w:val="00DD737D"/>
    <w:rsid w:val="00DE3CAA"/>
    <w:rsid w:val="00DF09C2"/>
    <w:rsid w:val="00DF1BDE"/>
    <w:rsid w:val="00DF4D4A"/>
    <w:rsid w:val="00DF5524"/>
    <w:rsid w:val="00DF74FB"/>
    <w:rsid w:val="00E004E6"/>
    <w:rsid w:val="00E05BC6"/>
    <w:rsid w:val="00E0635C"/>
    <w:rsid w:val="00E075C1"/>
    <w:rsid w:val="00E0775B"/>
    <w:rsid w:val="00E101F4"/>
    <w:rsid w:val="00E10536"/>
    <w:rsid w:val="00E13295"/>
    <w:rsid w:val="00E22CB0"/>
    <w:rsid w:val="00E2339E"/>
    <w:rsid w:val="00E24443"/>
    <w:rsid w:val="00E31A64"/>
    <w:rsid w:val="00E32002"/>
    <w:rsid w:val="00E3354A"/>
    <w:rsid w:val="00E35EA0"/>
    <w:rsid w:val="00E4066B"/>
    <w:rsid w:val="00E418A9"/>
    <w:rsid w:val="00E526FC"/>
    <w:rsid w:val="00E537A5"/>
    <w:rsid w:val="00E56806"/>
    <w:rsid w:val="00E640B4"/>
    <w:rsid w:val="00E6424C"/>
    <w:rsid w:val="00E703A8"/>
    <w:rsid w:val="00E7288F"/>
    <w:rsid w:val="00E744EE"/>
    <w:rsid w:val="00E83597"/>
    <w:rsid w:val="00E835E8"/>
    <w:rsid w:val="00E83886"/>
    <w:rsid w:val="00E84955"/>
    <w:rsid w:val="00EA1B89"/>
    <w:rsid w:val="00EB0233"/>
    <w:rsid w:val="00EB726F"/>
    <w:rsid w:val="00EC0460"/>
    <w:rsid w:val="00EC08A7"/>
    <w:rsid w:val="00ED2AA2"/>
    <w:rsid w:val="00EE6171"/>
    <w:rsid w:val="00EE638D"/>
    <w:rsid w:val="00EF058F"/>
    <w:rsid w:val="00EF0EEA"/>
    <w:rsid w:val="00EF370D"/>
    <w:rsid w:val="00F0133D"/>
    <w:rsid w:val="00F125FA"/>
    <w:rsid w:val="00F15315"/>
    <w:rsid w:val="00F23E59"/>
    <w:rsid w:val="00F328C0"/>
    <w:rsid w:val="00F571FA"/>
    <w:rsid w:val="00F607D0"/>
    <w:rsid w:val="00F6775F"/>
    <w:rsid w:val="00F8298F"/>
    <w:rsid w:val="00F9263B"/>
    <w:rsid w:val="00F96159"/>
    <w:rsid w:val="00FA1E44"/>
    <w:rsid w:val="00FA32FA"/>
    <w:rsid w:val="00FA4C55"/>
    <w:rsid w:val="00FA65BF"/>
    <w:rsid w:val="00FB548B"/>
    <w:rsid w:val="00FC0F6A"/>
    <w:rsid w:val="00FC1875"/>
    <w:rsid w:val="00FC1DC1"/>
    <w:rsid w:val="00FC6696"/>
    <w:rsid w:val="00FD7352"/>
    <w:rsid w:val="00FE3B9B"/>
    <w:rsid w:val="00FE44A8"/>
    <w:rsid w:val="00FF3BEE"/>
    <w:rsid w:val="00FF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8212"/>
  <w15:docId w15:val="{E6DDE2F9-0EA6-4F14-949C-E7C3B401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54A"/>
    <w:pPr>
      <w:ind w:left="720"/>
      <w:contextualSpacing/>
    </w:pPr>
  </w:style>
  <w:style w:type="character" w:styleId="PlaceholderText">
    <w:name w:val="Placeholder Text"/>
    <w:basedOn w:val="DefaultParagraphFont"/>
    <w:uiPriority w:val="99"/>
    <w:semiHidden/>
    <w:rsid w:val="000235A1"/>
    <w:rPr>
      <w:color w:val="808080"/>
    </w:rPr>
  </w:style>
  <w:style w:type="character" w:styleId="Hyperlink">
    <w:name w:val="Hyperlink"/>
    <w:basedOn w:val="DefaultParagraphFont"/>
    <w:uiPriority w:val="99"/>
    <w:unhideWhenUsed/>
    <w:rsid w:val="00B015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774927">
      <w:bodyDiv w:val="1"/>
      <w:marLeft w:val="0"/>
      <w:marRight w:val="0"/>
      <w:marTop w:val="0"/>
      <w:marBottom w:val="0"/>
      <w:divBdr>
        <w:top w:val="none" w:sz="0" w:space="0" w:color="auto"/>
        <w:left w:val="none" w:sz="0" w:space="0" w:color="auto"/>
        <w:bottom w:val="none" w:sz="0" w:space="0" w:color="auto"/>
        <w:right w:val="none" w:sz="0" w:space="0" w:color="auto"/>
      </w:divBdr>
    </w:div>
    <w:div w:id="20440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hartonrealestate.org/research/papers/full/44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7</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Shagor A. Rahman</dc:creator>
  <cp:lastModifiedBy>Shagor A. Rahman</cp:lastModifiedBy>
  <cp:revision>5</cp:revision>
  <dcterms:created xsi:type="dcterms:W3CDTF">2016-12-08T21:55:00Z</dcterms:created>
  <dcterms:modified xsi:type="dcterms:W3CDTF">2016-12-09T17:54:00Z</dcterms:modified>
</cp:coreProperties>
</file>