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28" w:type="dxa"/>
          <w:right w:w="28" w:type="dxa"/>
        </w:tblCellMar>
      </w:tblPr>
      <w:tblGrid>
        <w:gridCol w:w="1585"/>
        <w:gridCol w:w="2822"/>
        <w:gridCol w:w="2417"/>
        <w:gridCol w:w="2814"/>
      </w:tblGrid>
      <w:tr>
        <w:trPr>
          <w:tblHeader w:val="true"/>
        </w:trPr>
        <w:tc>
          <w:tcPr>
            <w:tcW w:w="1585" w:type="dxa"/>
            <w:tcBorders>
              <w:bottom w:val="single" w:sz="4" w:space="0" w:color="EEEFF2"/>
              <w:right w:val="single" w:sz="4" w:space="0" w:color="EEEFF2"/>
            </w:tcBorders>
            <w:shd w:fill="F9F9FB" w:val="clear"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/>
                <w:color w:val="151C2B"/>
              </w:rPr>
            </w:pPr>
            <w:r>
              <w:rPr>
                <w:b/>
                <w:color w:val="151C2B"/>
              </w:rPr>
              <w:t>Feature</w:t>
            </w:r>
          </w:p>
        </w:tc>
        <w:tc>
          <w:tcPr>
            <w:tcW w:w="2822" w:type="dxa"/>
            <w:tcBorders>
              <w:bottom w:val="single" w:sz="4" w:space="0" w:color="EEEFF2"/>
              <w:right w:val="single" w:sz="4" w:space="0" w:color="EEEFF2"/>
            </w:tcBorders>
            <w:shd w:fill="F9F9FB" w:val="clear"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/>
                <w:color w:val="151C2B"/>
              </w:rPr>
            </w:pPr>
            <w:r>
              <w:rPr>
                <w:b/>
                <w:color w:val="151C2B"/>
              </w:rPr>
              <w:t>Bash</w:t>
            </w:r>
          </w:p>
        </w:tc>
        <w:tc>
          <w:tcPr>
            <w:tcW w:w="2417" w:type="dxa"/>
            <w:tcBorders>
              <w:bottom w:val="single" w:sz="4" w:space="0" w:color="EEEFF2"/>
              <w:right w:val="single" w:sz="4" w:space="0" w:color="EEEFF2"/>
            </w:tcBorders>
            <w:shd w:fill="F9F9FB" w:val="clear"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/>
                <w:color w:val="151C2B"/>
              </w:rPr>
            </w:pPr>
            <w:r>
              <w:rPr>
                <w:b/>
                <w:color w:val="151C2B"/>
              </w:rPr>
              <w:t>Fish</w:t>
            </w:r>
          </w:p>
        </w:tc>
        <w:tc>
          <w:tcPr>
            <w:tcW w:w="2814" w:type="dxa"/>
            <w:tcBorders>
              <w:bottom w:val="single" w:sz="4" w:space="0" w:color="EEEFF2"/>
            </w:tcBorders>
            <w:shd w:fill="F9F9FB" w:val="clear"/>
            <w:tcMar>
              <w:right w:w="0" w:type="dxa"/>
            </w:tcMar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left"/>
              <w:rPr>
                <w:b/>
                <w:color w:val="151C2B"/>
              </w:rPr>
            </w:pPr>
            <w:r>
              <w:rPr>
                <w:b/>
                <w:color w:val="151C2B"/>
              </w:rPr>
              <w:t>Zsh</w:t>
            </w:r>
          </w:p>
        </w:tc>
      </w:tr>
      <w:tr>
        <w:trPr/>
        <w:tc>
          <w:tcPr>
            <w:tcW w:w="1585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Full Name</w:t>
            </w:r>
          </w:p>
        </w:tc>
        <w:tc>
          <w:tcPr>
            <w:tcW w:w="2822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The full form of Bash is Bourne Again Shell.</w:t>
            </w:r>
          </w:p>
        </w:tc>
        <w:tc>
          <w:tcPr>
            <w:tcW w:w="2417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The full form of Fish is Friendly Interactive Shell.</w:t>
            </w:r>
          </w:p>
        </w:tc>
        <w:tc>
          <w:tcPr>
            <w:tcW w:w="2814" w:type="dxa"/>
            <w:tcBorders>
              <w:bottom w:val="single" w:sz="4" w:space="0" w:color="EEEFF2"/>
            </w:tcBorders>
            <w:shd w:fill="FFFFFF" w:val="clear"/>
            <w:tcMar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The full form of Zsh is Z Shell.</w:t>
            </w:r>
          </w:p>
        </w:tc>
      </w:tr>
      <w:tr>
        <w:trPr/>
        <w:tc>
          <w:tcPr>
            <w:tcW w:w="1585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Scripting</w:t>
            </w:r>
          </w:p>
        </w:tc>
        <w:tc>
          <w:tcPr>
            <w:tcW w:w="2822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 offers widely compatible scripting with extensive documentation available.</w:t>
            </w:r>
          </w:p>
        </w:tc>
        <w:tc>
          <w:tcPr>
            <w:tcW w:w="2417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 has limited scripting features as compared to the other two shells.</w:t>
            </w:r>
          </w:p>
        </w:tc>
        <w:tc>
          <w:tcPr>
            <w:tcW w:w="2814" w:type="dxa"/>
            <w:tcBorders>
              <w:bottom w:val="single" w:sz="4" w:space="0" w:color="EEEFF2"/>
            </w:tcBorders>
            <w:shd w:fill="FFFFFF" w:val="clear"/>
            <w:tcMar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 offers an excellent level of scripting, combining the traditional capabilities of Bash shell with some extra features.</w:t>
            </w:r>
          </w:p>
        </w:tc>
      </w:tr>
      <w:tr>
        <w:trPr/>
        <w:tc>
          <w:tcPr>
            <w:tcW w:w="1585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Tab completion</w:t>
            </w:r>
          </w:p>
        </w:tc>
        <w:tc>
          <w:tcPr>
            <w:tcW w:w="2822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 has a basic tab completion feature.</w:t>
            </w:r>
          </w:p>
        </w:tc>
        <w:tc>
          <w:tcPr>
            <w:tcW w:w="2417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 offers advanced tab completion by giving suggestions based on your previous commands.</w:t>
            </w:r>
          </w:p>
        </w:tc>
        <w:tc>
          <w:tcPr>
            <w:tcW w:w="2814" w:type="dxa"/>
            <w:tcBorders>
              <w:bottom w:val="single" w:sz="4" w:space="0" w:color="EEEFF2"/>
            </w:tcBorders>
            <w:shd w:fill="FFFFFF" w:val="clear"/>
            <w:tcMar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Its tab completion capability can be extended heavily by using plugins.</w:t>
            </w:r>
          </w:p>
        </w:tc>
      </w:tr>
      <w:tr>
        <w:trPr/>
        <w:tc>
          <w:tcPr>
            <w:tcW w:w="1585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Customization</w:t>
            </w:r>
          </w:p>
        </w:tc>
        <w:tc>
          <w:tcPr>
            <w:tcW w:w="2822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Basic level of customization.</w:t>
            </w:r>
          </w:p>
        </w:tc>
        <w:tc>
          <w:tcPr>
            <w:tcW w:w="2417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 offers some good customization through interactive tools.</w:t>
            </w:r>
          </w:p>
        </w:tc>
        <w:tc>
          <w:tcPr>
            <w:tcW w:w="2814" w:type="dxa"/>
            <w:tcBorders>
              <w:bottom w:val="single" w:sz="4" w:space="0" w:color="EEEFF2"/>
            </w:tcBorders>
            <w:shd w:fill="FFFFFF" w:val="clear"/>
            <w:tcMar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Advanced customization through oh-my-zsh framework.</w:t>
            </w:r>
          </w:p>
        </w:tc>
      </w:tr>
      <w:tr>
        <w:trPr/>
        <w:tc>
          <w:tcPr>
            <w:tcW w:w="1585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User friendliness</w:t>
            </w:r>
          </w:p>
        </w:tc>
        <w:tc>
          <w:tcPr>
            <w:tcW w:w="2822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 is less user-friendly, but being a traditional and widely used shell, its users are quite familiar and comfortable with it.</w:t>
            </w:r>
          </w:p>
        </w:tc>
        <w:tc>
          <w:tcPr>
            <w:tcW w:w="2417" w:type="dxa"/>
            <w:tcBorders>
              <w:bottom w:val="single" w:sz="4" w:space="0" w:color="EEEFF2"/>
              <w:right w:val="single" w:sz="4" w:space="0" w:color="EEEFF2"/>
            </w:tcBorders>
            <w:shd w:fill="FFFFFF" w:val="clear"/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 is the most user-friendly shell.</w:t>
            </w:r>
          </w:p>
        </w:tc>
        <w:tc>
          <w:tcPr>
            <w:tcW w:w="2814" w:type="dxa"/>
            <w:tcBorders>
              <w:bottom w:val="single" w:sz="4" w:space="0" w:color="EEEFF2"/>
            </w:tcBorders>
            <w:shd w:fill="FFFFFF" w:val="clear"/>
            <w:tcMar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It can be highly user-friendly with proper customization.</w:t>
            </w:r>
          </w:p>
        </w:tc>
      </w:tr>
      <w:tr>
        <w:trPr/>
        <w:tc>
          <w:tcPr>
            <w:tcW w:w="1585" w:type="dxa"/>
            <w:tcBorders>
              <w:right w:val="single" w:sz="4" w:space="0" w:color="EEEFF2"/>
            </w:tcBorders>
            <w:shd w:fill="FFFFFF" w:val="clear"/>
            <w:tcMar>
              <w:bottom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Syntax highlighting</w:t>
            </w:r>
          </w:p>
        </w:tc>
        <w:tc>
          <w:tcPr>
            <w:tcW w:w="2822" w:type="dxa"/>
            <w:tcBorders>
              <w:right w:val="single" w:sz="4" w:space="0" w:color="EEEFF2"/>
            </w:tcBorders>
            <w:shd w:fill="FFFFFF" w:val="clear"/>
            <w:tcMar>
              <w:bottom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The syntax highlighting feature is not available in this shell.</w:t>
            </w:r>
          </w:p>
        </w:tc>
        <w:tc>
          <w:tcPr>
            <w:tcW w:w="2417" w:type="dxa"/>
            <w:tcBorders>
              <w:right w:val="single" w:sz="4" w:space="0" w:color="EEEFF2"/>
            </w:tcBorders>
            <w:shd w:fill="FFFFFF" w:val="clear"/>
            <w:tcMar>
              <w:bottom w:w="0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The syntax highlighting is built-in to this shell.</w:t>
            </w:r>
          </w:p>
        </w:tc>
        <w:tc>
          <w:tcPr>
            <w:tcW w:w="2814" w:type="dxa"/>
            <w:tcBorders/>
            <w:shd w:fill="FFFFFF" w:val="clear"/>
            <w:tcMar>
              <w:bottom w:w="0" w:type="dxa"/>
              <w:right w:w="0" w:type="dxa"/>
            </w:tcMar>
            <w:vAlign w:val="center"/>
          </w:tcPr>
          <w:p>
            <w:pPr>
              <w:pStyle w:val="TableContents"/>
              <w:spacing w:before="0" w:after="0"/>
              <w:ind w:left="0" w:right="0"/>
              <w:rPr/>
            </w:pPr>
            <w:r>
              <w:rPr/>
              <w:t>The syntax highlighting can be used with this shell by introducing some plugins.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193</Words>
  <Characters>1078</Characters>
  <CharactersWithSpaces>1243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2026-02-07T00:13:44Z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