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25D17" w14:textId="5A8778B9" w:rsidR="00F41445" w:rsidRDefault="003850D7">
      <w:r w:rsidRPr="003850D7">
        <w:t>Generate a policy for data retention policy.</w:t>
      </w:r>
    </w:p>
    <w:p w14:paraId="54B1C59B" w14:textId="77777777" w:rsidR="003850D7" w:rsidRDefault="003850D7"/>
    <w:p w14:paraId="7492269F" w14:textId="77777777" w:rsidR="003850D7" w:rsidRPr="003850D7" w:rsidRDefault="003850D7" w:rsidP="003850D7">
      <w:pPr>
        <w:rPr>
          <w:b/>
          <w:bCs/>
        </w:rPr>
      </w:pPr>
      <w:r w:rsidRPr="003850D7">
        <w:rPr>
          <w:b/>
          <w:bCs/>
        </w:rPr>
        <w:t>Data Retention Policy</w:t>
      </w:r>
    </w:p>
    <w:p w14:paraId="25E08B43" w14:textId="77777777" w:rsidR="003850D7" w:rsidRPr="003850D7" w:rsidRDefault="003850D7" w:rsidP="003850D7">
      <w:pPr>
        <w:rPr>
          <w:b/>
          <w:bCs/>
        </w:rPr>
      </w:pPr>
      <w:r w:rsidRPr="003850D7">
        <w:rPr>
          <w:b/>
          <w:bCs/>
        </w:rPr>
        <w:t>1. Purpose</w:t>
      </w:r>
    </w:p>
    <w:p w14:paraId="324B5997" w14:textId="77777777" w:rsidR="003850D7" w:rsidRPr="003850D7" w:rsidRDefault="003850D7" w:rsidP="003850D7">
      <w:r w:rsidRPr="003850D7">
        <w:t>The purpose of this Data Retention Policy is to establish guidelines for the retention and disposal of data within [Organization Name]. This policy ensures compliance with legal, regulatory, and operational requirements while optimizing data storage and management.</w:t>
      </w:r>
    </w:p>
    <w:p w14:paraId="0FB8BDF1" w14:textId="77777777" w:rsidR="003850D7" w:rsidRPr="003850D7" w:rsidRDefault="003850D7" w:rsidP="003850D7">
      <w:pPr>
        <w:rPr>
          <w:b/>
          <w:bCs/>
        </w:rPr>
      </w:pPr>
      <w:r w:rsidRPr="003850D7">
        <w:rPr>
          <w:b/>
          <w:bCs/>
        </w:rPr>
        <w:t>2. Scope</w:t>
      </w:r>
    </w:p>
    <w:p w14:paraId="3D5B6FFD" w14:textId="77777777" w:rsidR="003850D7" w:rsidRPr="003850D7" w:rsidRDefault="003850D7" w:rsidP="003850D7">
      <w:r w:rsidRPr="003850D7">
        <w:t>This policy applies to all data created, received, maintained, or transmitted by [Organization Name], including electronic and physical records.</w:t>
      </w:r>
    </w:p>
    <w:p w14:paraId="77E4018B" w14:textId="77777777" w:rsidR="003850D7" w:rsidRPr="003850D7" w:rsidRDefault="003850D7" w:rsidP="003850D7">
      <w:pPr>
        <w:rPr>
          <w:b/>
          <w:bCs/>
        </w:rPr>
      </w:pPr>
      <w:r w:rsidRPr="003850D7">
        <w:rPr>
          <w:b/>
          <w:bCs/>
        </w:rPr>
        <w:t>3. Policy Statement</w:t>
      </w:r>
    </w:p>
    <w:p w14:paraId="011C1A06" w14:textId="77777777" w:rsidR="003850D7" w:rsidRPr="003850D7" w:rsidRDefault="003850D7" w:rsidP="003850D7">
      <w:r w:rsidRPr="003850D7">
        <w:t>[Organization Name] is committed to retaining data for as long as it is necessary to fulfill the purposes for which it was collected, to comply with legal and regulatory requirements, and to meet operational needs. Data will be securely disposed of when it is no longer needed.</w:t>
      </w:r>
    </w:p>
    <w:p w14:paraId="2E1F1AA4" w14:textId="77777777" w:rsidR="003850D7" w:rsidRPr="003850D7" w:rsidRDefault="003850D7" w:rsidP="003850D7">
      <w:pPr>
        <w:rPr>
          <w:b/>
          <w:bCs/>
        </w:rPr>
      </w:pPr>
      <w:r w:rsidRPr="003850D7">
        <w:rPr>
          <w:b/>
          <w:bCs/>
        </w:rPr>
        <w:t>4. Data Classification</w:t>
      </w:r>
    </w:p>
    <w:p w14:paraId="7A4DE3D6" w14:textId="77777777" w:rsidR="003850D7" w:rsidRPr="003850D7" w:rsidRDefault="003850D7" w:rsidP="003850D7">
      <w:r w:rsidRPr="003850D7">
        <w:t>Data will be classified into the following categories for retention purposes:</w:t>
      </w:r>
    </w:p>
    <w:p w14:paraId="192A816B" w14:textId="77777777" w:rsidR="003850D7" w:rsidRPr="003850D7" w:rsidRDefault="003850D7" w:rsidP="003850D7">
      <w:pPr>
        <w:numPr>
          <w:ilvl w:val="0"/>
          <w:numId w:val="1"/>
        </w:numPr>
      </w:pPr>
      <w:r w:rsidRPr="003850D7">
        <w:rPr>
          <w:b/>
          <w:bCs/>
        </w:rPr>
        <w:t>Financial Records</w:t>
      </w:r>
      <w:r w:rsidRPr="003850D7">
        <w:t>: Invoices, receipts, financial statements, tax records.</w:t>
      </w:r>
    </w:p>
    <w:p w14:paraId="0EB39AB3" w14:textId="77777777" w:rsidR="003850D7" w:rsidRPr="003850D7" w:rsidRDefault="003850D7" w:rsidP="003850D7">
      <w:pPr>
        <w:numPr>
          <w:ilvl w:val="0"/>
          <w:numId w:val="1"/>
        </w:numPr>
      </w:pPr>
      <w:r w:rsidRPr="003850D7">
        <w:rPr>
          <w:b/>
          <w:bCs/>
        </w:rPr>
        <w:t>Employee Records</w:t>
      </w:r>
      <w:r w:rsidRPr="003850D7">
        <w:t>: Personnel files, payroll records, benefits information.</w:t>
      </w:r>
    </w:p>
    <w:p w14:paraId="1B427AAE" w14:textId="77777777" w:rsidR="003850D7" w:rsidRPr="003850D7" w:rsidRDefault="003850D7" w:rsidP="003850D7">
      <w:pPr>
        <w:numPr>
          <w:ilvl w:val="0"/>
          <w:numId w:val="1"/>
        </w:numPr>
      </w:pPr>
      <w:r w:rsidRPr="003850D7">
        <w:rPr>
          <w:b/>
          <w:bCs/>
        </w:rPr>
        <w:t>Customer Records</w:t>
      </w:r>
      <w:r w:rsidRPr="003850D7">
        <w:t>: Customer contact information, transaction history, service records.</w:t>
      </w:r>
    </w:p>
    <w:p w14:paraId="60691AC8" w14:textId="77777777" w:rsidR="003850D7" w:rsidRPr="003850D7" w:rsidRDefault="003850D7" w:rsidP="003850D7">
      <w:pPr>
        <w:numPr>
          <w:ilvl w:val="0"/>
          <w:numId w:val="1"/>
        </w:numPr>
      </w:pPr>
      <w:r w:rsidRPr="003850D7">
        <w:rPr>
          <w:b/>
          <w:bCs/>
        </w:rPr>
        <w:t>Operational Records</w:t>
      </w:r>
      <w:r w:rsidRPr="003850D7">
        <w:t>: Project files, meeting minutes, operational reports.</w:t>
      </w:r>
    </w:p>
    <w:p w14:paraId="3B3565FD" w14:textId="77777777" w:rsidR="003850D7" w:rsidRPr="003850D7" w:rsidRDefault="003850D7" w:rsidP="003850D7">
      <w:pPr>
        <w:numPr>
          <w:ilvl w:val="0"/>
          <w:numId w:val="1"/>
        </w:numPr>
      </w:pPr>
      <w:r w:rsidRPr="003850D7">
        <w:rPr>
          <w:b/>
          <w:bCs/>
        </w:rPr>
        <w:t>Legal and Compliance Records</w:t>
      </w:r>
      <w:r w:rsidRPr="003850D7">
        <w:t>: Contracts, legal correspondence, compliance documentation.</w:t>
      </w:r>
    </w:p>
    <w:p w14:paraId="0A967401" w14:textId="77777777" w:rsidR="003850D7" w:rsidRPr="003850D7" w:rsidRDefault="003850D7" w:rsidP="003850D7">
      <w:pPr>
        <w:rPr>
          <w:b/>
          <w:bCs/>
        </w:rPr>
      </w:pPr>
      <w:r w:rsidRPr="003850D7">
        <w:rPr>
          <w:b/>
          <w:bCs/>
        </w:rPr>
        <w:t>5. Retention Periods</w:t>
      </w:r>
    </w:p>
    <w:p w14:paraId="48ECFCB7" w14:textId="77777777" w:rsidR="003850D7" w:rsidRPr="003850D7" w:rsidRDefault="003850D7" w:rsidP="003850D7">
      <w:r w:rsidRPr="003850D7">
        <w:t>The retention periods for each data category are as follows:</w:t>
      </w:r>
    </w:p>
    <w:tbl>
      <w:tblPr>
        <w:tblW w:w="10440" w:type="dxa"/>
        <w:tblBorders>
          <w:top w:val="single" w:sz="2" w:space="0" w:color="auto"/>
          <w:left w:val="single" w:sz="2" w:space="0" w:color="auto"/>
          <w:bottom w:val="single" w:sz="2" w:space="0" w:color="auto"/>
          <w:right w:val="single" w:sz="2" w:space="0" w:color="auto"/>
        </w:tblBorders>
        <w:shd w:val="clear" w:color="auto" w:fill="FAFAFA"/>
        <w:tblCellMar>
          <w:left w:w="0" w:type="dxa"/>
          <w:right w:w="0" w:type="dxa"/>
        </w:tblCellMar>
        <w:tblLook w:val="04A0" w:firstRow="1" w:lastRow="0" w:firstColumn="1" w:lastColumn="0" w:noHBand="0" w:noVBand="1"/>
      </w:tblPr>
      <w:tblGrid>
        <w:gridCol w:w="3803"/>
        <w:gridCol w:w="6637"/>
      </w:tblGrid>
      <w:tr w:rsidR="003850D7" w:rsidRPr="003850D7" w14:paraId="03DA75C3" w14:textId="77777777" w:rsidTr="003850D7">
        <w:trPr>
          <w:tblHeader/>
        </w:trPr>
        <w:tc>
          <w:tcPr>
            <w:tcW w:w="0" w:type="auto"/>
            <w:shd w:val="clear" w:color="auto" w:fill="FAFAFA"/>
            <w:tcMar>
              <w:top w:w="0" w:type="dxa"/>
              <w:left w:w="0" w:type="dxa"/>
              <w:bottom w:w="137" w:type="dxa"/>
              <w:right w:w="0" w:type="dxa"/>
            </w:tcMar>
            <w:vAlign w:val="bottom"/>
            <w:hideMark/>
          </w:tcPr>
          <w:p w14:paraId="46A7D4B8" w14:textId="77777777" w:rsidR="003850D7" w:rsidRPr="003850D7" w:rsidRDefault="003850D7" w:rsidP="003850D7">
            <w:pPr>
              <w:rPr>
                <w:b/>
                <w:bCs/>
              </w:rPr>
            </w:pPr>
            <w:r w:rsidRPr="003850D7">
              <w:rPr>
                <w:b/>
                <w:bCs/>
              </w:rPr>
              <w:lastRenderedPageBreak/>
              <w:t>Data Category</w:t>
            </w:r>
          </w:p>
        </w:tc>
        <w:tc>
          <w:tcPr>
            <w:tcW w:w="0" w:type="auto"/>
            <w:shd w:val="clear" w:color="auto" w:fill="FAFAFA"/>
            <w:tcMar>
              <w:top w:w="0" w:type="dxa"/>
              <w:left w:w="0" w:type="dxa"/>
              <w:bottom w:w="137" w:type="dxa"/>
              <w:right w:w="0" w:type="dxa"/>
            </w:tcMar>
            <w:vAlign w:val="bottom"/>
            <w:hideMark/>
          </w:tcPr>
          <w:p w14:paraId="2F986153" w14:textId="77777777" w:rsidR="003850D7" w:rsidRPr="003850D7" w:rsidRDefault="003850D7" w:rsidP="003850D7">
            <w:pPr>
              <w:rPr>
                <w:b/>
                <w:bCs/>
              </w:rPr>
            </w:pPr>
            <w:r w:rsidRPr="003850D7">
              <w:rPr>
                <w:b/>
                <w:bCs/>
              </w:rPr>
              <w:t>Retention Period</w:t>
            </w:r>
          </w:p>
        </w:tc>
      </w:tr>
      <w:tr w:rsidR="003850D7" w:rsidRPr="003850D7" w14:paraId="57B24000" w14:textId="77777777" w:rsidTr="003850D7">
        <w:tc>
          <w:tcPr>
            <w:tcW w:w="0" w:type="auto"/>
            <w:shd w:val="clear" w:color="auto" w:fill="FAFAFA"/>
            <w:tcMar>
              <w:top w:w="137" w:type="dxa"/>
              <w:left w:w="0" w:type="dxa"/>
              <w:bottom w:w="137" w:type="dxa"/>
              <w:right w:w="0" w:type="dxa"/>
            </w:tcMar>
            <w:vAlign w:val="bottom"/>
            <w:hideMark/>
          </w:tcPr>
          <w:p w14:paraId="6EE46DB0" w14:textId="77777777" w:rsidR="003850D7" w:rsidRPr="003850D7" w:rsidRDefault="003850D7" w:rsidP="003850D7">
            <w:r w:rsidRPr="003850D7">
              <w:t>Financial Records</w:t>
            </w:r>
          </w:p>
        </w:tc>
        <w:tc>
          <w:tcPr>
            <w:tcW w:w="0" w:type="auto"/>
            <w:shd w:val="clear" w:color="auto" w:fill="FAFAFA"/>
            <w:tcMar>
              <w:top w:w="137" w:type="dxa"/>
              <w:left w:w="0" w:type="dxa"/>
              <w:bottom w:w="137" w:type="dxa"/>
              <w:right w:w="0" w:type="dxa"/>
            </w:tcMar>
            <w:vAlign w:val="bottom"/>
            <w:hideMark/>
          </w:tcPr>
          <w:p w14:paraId="4C50ED73" w14:textId="77777777" w:rsidR="003850D7" w:rsidRPr="003850D7" w:rsidRDefault="003850D7" w:rsidP="003850D7">
            <w:r w:rsidRPr="003850D7">
              <w:t>7 years from the end of the fiscal year</w:t>
            </w:r>
          </w:p>
        </w:tc>
      </w:tr>
      <w:tr w:rsidR="003850D7" w:rsidRPr="003850D7" w14:paraId="127643CE" w14:textId="77777777" w:rsidTr="003850D7">
        <w:tc>
          <w:tcPr>
            <w:tcW w:w="0" w:type="auto"/>
            <w:shd w:val="clear" w:color="auto" w:fill="FAFAFA"/>
            <w:tcMar>
              <w:top w:w="137" w:type="dxa"/>
              <w:left w:w="0" w:type="dxa"/>
              <w:bottom w:w="137" w:type="dxa"/>
              <w:right w:w="0" w:type="dxa"/>
            </w:tcMar>
            <w:vAlign w:val="bottom"/>
            <w:hideMark/>
          </w:tcPr>
          <w:p w14:paraId="6C4E1710" w14:textId="77777777" w:rsidR="003850D7" w:rsidRPr="003850D7" w:rsidRDefault="003850D7" w:rsidP="003850D7">
            <w:r w:rsidRPr="003850D7">
              <w:t>Employee Records</w:t>
            </w:r>
          </w:p>
        </w:tc>
        <w:tc>
          <w:tcPr>
            <w:tcW w:w="0" w:type="auto"/>
            <w:shd w:val="clear" w:color="auto" w:fill="FAFAFA"/>
            <w:tcMar>
              <w:top w:w="137" w:type="dxa"/>
              <w:left w:w="0" w:type="dxa"/>
              <w:bottom w:w="137" w:type="dxa"/>
              <w:right w:w="0" w:type="dxa"/>
            </w:tcMar>
            <w:vAlign w:val="bottom"/>
            <w:hideMark/>
          </w:tcPr>
          <w:p w14:paraId="0AD7C391" w14:textId="77777777" w:rsidR="003850D7" w:rsidRPr="003850D7" w:rsidRDefault="003850D7" w:rsidP="003850D7">
            <w:r w:rsidRPr="003850D7">
              <w:t>7 years after termination of employment</w:t>
            </w:r>
          </w:p>
        </w:tc>
      </w:tr>
      <w:tr w:rsidR="003850D7" w:rsidRPr="003850D7" w14:paraId="304A69B7" w14:textId="77777777" w:rsidTr="003850D7">
        <w:tc>
          <w:tcPr>
            <w:tcW w:w="0" w:type="auto"/>
            <w:shd w:val="clear" w:color="auto" w:fill="FAFAFA"/>
            <w:tcMar>
              <w:top w:w="137" w:type="dxa"/>
              <w:left w:w="0" w:type="dxa"/>
              <w:bottom w:w="137" w:type="dxa"/>
              <w:right w:w="0" w:type="dxa"/>
            </w:tcMar>
            <w:vAlign w:val="bottom"/>
            <w:hideMark/>
          </w:tcPr>
          <w:p w14:paraId="5E13FD2B" w14:textId="77777777" w:rsidR="003850D7" w:rsidRPr="003850D7" w:rsidRDefault="003850D7" w:rsidP="003850D7">
            <w:r w:rsidRPr="003850D7">
              <w:t>Customer Records</w:t>
            </w:r>
          </w:p>
        </w:tc>
        <w:tc>
          <w:tcPr>
            <w:tcW w:w="0" w:type="auto"/>
            <w:shd w:val="clear" w:color="auto" w:fill="FAFAFA"/>
            <w:tcMar>
              <w:top w:w="137" w:type="dxa"/>
              <w:left w:w="0" w:type="dxa"/>
              <w:bottom w:w="137" w:type="dxa"/>
              <w:right w:w="0" w:type="dxa"/>
            </w:tcMar>
            <w:vAlign w:val="bottom"/>
            <w:hideMark/>
          </w:tcPr>
          <w:p w14:paraId="3FE43177" w14:textId="77777777" w:rsidR="003850D7" w:rsidRPr="003850D7" w:rsidRDefault="003850D7" w:rsidP="003850D7">
            <w:r w:rsidRPr="003850D7">
              <w:t>5 years after the last transaction</w:t>
            </w:r>
          </w:p>
        </w:tc>
      </w:tr>
      <w:tr w:rsidR="003850D7" w:rsidRPr="003850D7" w14:paraId="6B5CF646" w14:textId="77777777" w:rsidTr="003850D7">
        <w:tc>
          <w:tcPr>
            <w:tcW w:w="0" w:type="auto"/>
            <w:shd w:val="clear" w:color="auto" w:fill="FAFAFA"/>
            <w:tcMar>
              <w:top w:w="137" w:type="dxa"/>
              <w:left w:w="0" w:type="dxa"/>
              <w:bottom w:w="137" w:type="dxa"/>
              <w:right w:w="0" w:type="dxa"/>
            </w:tcMar>
            <w:vAlign w:val="bottom"/>
            <w:hideMark/>
          </w:tcPr>
          <w:p w14:paraId="31C64FE6" w14:textId="77777777" w:rsidR="003850D7" w:rsidRPr="003850D7" w:rsidRDefault="003850D7" w:rsidP="003850D7">
            <w:r w:rsidRPr="003850D7">
              <w:t>Operational Records</w:t>
            </w:r>
          </w:p>
        </w:tc>
        <w:tc>
          <w:tcPr>
            <w:tcW w:w="0" w:type="auto"/>
            <w:shd w:val="clear" w:color="auto" w:fill="FAFAFA"/>
            <w:tcMar>
              <w:top w:w="137" w:type="dxa"/>
              <w:left w:w="0" w:type="dxa"/>
              <w:bottom w:w="137" w:type="dxa"/>
              <w:right w:w="0" w:type="dxa"/>
            </w:tcMar>
            <w:vAlign w:val="bottom"/>
            <w:hideMark/>
          </w:tcPr>
          <w:p w14:paraId="1FF3E9CC" w14:textId="77777777" w:rsidR="003850D7" w:rsidRPr="003850D7" w:rsidRDefault="003850D7" w:rsidP="003850D7">
            <w:r w:rsidRPr="003850D7">
              <w:t>5 years from the date of creation</w:t>
            </w:r>
          </w:p>
        </w:tc>
      </w:tr>
      <w:tr w:rsidR="003850D7" w:rsidRPr="003850D7" w14:paraId="6A6B9FE7" w14:textId="77777777" w:rsidTr="003850D7">
        <w:tc>
          <w:tcPr>
            <w:tcW w:w="0" w:type="auto"/>
            <w:shd w:val="clear" w:color="auto" w:fill="FAFAFA"/>
            <w:tcMar>
              <w:top w:w="137" w:type="dxa"/>
              <w:left w:w="0" w:type="dxa"/>
              <w:bottom w:w="137" w:type="dxa"/>
              <w:right w:w="0" w:type="dxa"/>
            </w:tcMar>
            <w:vAlign w:val="bottom"/>
            <w:hideMark/>
          </w:tcPr>
          <w:p w14:paraId="6860B9FD" w14:textId="77777777" w:rsidR="003850D7" w:rsidRPr="003850D7" w:rsidRDefault="003850D7" w:rsidP="003850D7">
            <w:r w:rsidRPr="003850D7">
              <w:t>Legal and Compliance Records</w:t>
            </w:r>
          </w:p>
        </w:tc>
        <w:tc>
          <w:tcPr>
            <w:tcW w:w="0" w:type="auto"/>
            <w:shd w:val="clear" w:color="auto" w:fill="FAFAFA"/>
            <w:tcMar>
              <w:top w:w="137" w:type="dxa"/>
              <w:left w:w="0" w:type="dxa"/>
              <w:bottom w:w="137" w:type="dxa"/>
              <w:right w:w="0" w:type="dxa"/>
            </w:tcMar>
            <w:vAlign w:val="bottom"/>
            <w:hideMark/>
          </w:tcPr>
          <w:p w14:paraId="61CC01BD" w14:textId="77777777" w:rsidR="003850D7" w:rsidRPr="003850D7" w:rsidRDefault="003850D7" w:rsidP="003850D7">
            <w:r w:rsidRPr="003850D7">
              <w:t>10 years from the date of creation or as required by law</w:t>
            </w:r>
          </w:p>
        </w:tc>
      </w:tr>
    </w:tbl>
    <w:p w14:paraId="3DE23E81" w14:textId="77777777" w:rsidR="003850D7" w:rsidRPr="003850D7" w:rsidRDefault="003850D7" w:rsidP="003850D7">
      <w:pPr>
        <w:rPr>
          <w:b/>
          <w:bCs/>
        </w:rPr>
      </w:pPr>
      <w:r w:rsidRPr="003850D7">
        <w:rPr>
          <w:b/>
          <w:bCs/>
        </w:rPr>
        <w:t>6. Data Disposal</w:t>
      </w:r>
    </w:p>
    <w:p w14:paraId="2B84AFAF" w14:textId="77777777" w:rsidR="003850D7" w:rsidRPr="003850D7" w:rsidRDefault="003850D7" w:rsidP="003850D7">
      <w:r w:rsidRPr="003850D7">
        <w:t>Data that has reached the end of its retention period will be securely disposed of in accordance with [Organization Name]'s Data Disposal Policy. Methods of disposal may include:</w:t>
      </w:r>
    </w:p>
    <w:p w14:paraId="1C5497BB" w14:textId="77777777" w:rsidR="003850D7" w:rsidRPr="003850D7" w:rsidRDefault="003850D7" w:rsidP="003850D7">
      <w:pPr>
        <w:numPr>
          <w:ilvl w:val="0"/>
          <w:numId w:val="2"/>
        </w:numPr>
      </w:pPr>
      <w:r w:rsidRPr="003850D7">
        <w:t>Secure deletion of electronic records.</w:t>
      </w:r>
    </w:p>
    <w:p w14:paraId="744D9B86" w14:textId="77777777" w:rsidR="003850D7" w:rsidRPr="003850D7" w:rsidRDefault="003850D7" w:rsidP="003850D7">
      <w:pPr>
        <w:numPr>
          <w:ilvl w:val="0"/>
          <w:numId w:val="2"/>
        </w:numPr>
      </w:pPr>
      <w:r w:rsidRPr="003850D7">
        <w:t>Shredding of physical documents.</w:t>
      </w:r>
    </w:p>
    <w:p w14:paraId="60546587" w14:textId="77777777" w:rsidR="003850D7" w:rsidRPr="003850D7" w:rsidRDefault="003850D7" w:rsidP="003850D7">
      <w:pPr>
        <w:numPr>
          <w:ilvl w:val="0"/>
          <w:numId w:val="2"/>
        </w:numPr>
      </w:pPr>
      <w:r w:rsidRPr="003850D7">
        <w:t>Use of certified data destruction services.</w:t>
      </w:r>
    </w:p>
    <w:p w14:paraId="20C7E401" w14:textId="77777777" w:rsidR="003850D7" w:rsidRPr="003850D7" w:rsidRDefault="003850D7" w:rsidP="003850D7">
      <w:pPr>
        <w:rPr>
          <w:b/>
          <w:bCs/>
        </w:rPr>
      </w:pPr>
      <w:r w:rsidRPr="003850D7">
        <w:rPr>
          <w:b/>
          <w:bCs/>
        </w:rPr>
        <w:t>7. Roles and Responsibilities</w:t>
      </w:r>
    </w:p>
    <w:p w14:paraId="2F82CCC9" w14:textId="77777777" w:rsidR="003850D7" w:rsidRPr="003850D7" w:rsidRDefault="003850D7" w:rsidP="003850D7">
      <w:pPr>
        <w:numPr>
          <w:ilvl w:val="0"/>
          <w:numId w:val="3"/>
        </w:numPr>
      </w:pPr>
      <w:r w:rsidRPr="003850D7">
        <w:rPr>
          <w:b/>
          <w:bCs/>
        </w:rPr>
        <w:t>Data Owners</w:t>
      </w:r>
      <w:r w:rsidRPr="003850D7">
        <w:t>: Responsible for classifying data and ensuring compliance with retention schedules.</w:t>
      </w:r>
    </w:p>
    <w:p w14:paraId="47F70D5E" w14:textId="77777777" w:rsidR="003850D7" w:rsidRPr="003850D7" w:rsidRDefault="003850D7" w:rsidP="003850D7">
      <w:pPr>
        <w:numPr>
          <w:ilvl w:val="0"/>
          <w:numId w:val="3"/>
        </w:numPr>
      </w:pPr>
      <w:r w:rsidRPr="003850D7">
        <w:rPr>
          <w:b/>
          <w:bCs/>
        </w:rPr>
        <w:t>IT Department</w:t>
      </w:r>
      <w:r w:rsidRPr="003850D7">
        <w:t>: Responsible for implementing technical measures to enforce retention policies and securely dispose of electronic data.</w:t>
      </w:r>
    </w:p>
    <w:p w14:paraId="6BC89A86" w14:textId="77777777" w:rsidR="003850D7" w:rsidRPr="003850D7" w:rsidRDefault="003850D7" w:rsidP="003850D7">
      <w:pPr>
        <w:numPr>
          <w:ilvl w:val="0"/>
          <w:numId w:val="3"/>
        </w:numPr>
      </w:pPr>
      <w:r w:rsidRPr="003850D7">
        <w:rPr>
          <w:b/>
          <w:bCs/>
        </w:rPr>
        <w:t>Records Management Team</w:t>
      </w:r>
      <w:r w:rsidRPr="003850D7">
        <w:t>: Responsible for overseeing the retention and disposal process and maintaining documentation.</w:t>
      </w:r>
    </w:p>
    <w:p w14:paraId="09DCFC8C" w14:textId="77777777" w:rsidR="003850D7" w:rsidRPr="003850D7" w:rsidRDefault="003850D7" w:rsidP="003850D7">
      <w:pPr>
        <w:rPr>
          <w:b/>
          <w:bCs/>
        </w:rPr>
      </w:pPr>
      <w:r w:rsidRPr="003850D7">
        <w:rPr>
          <w:b/>
          <w:bCs/>
        </w:rPr>
        <w:t>8. Compliance and Monitoring</w:t>
      </w:r>
    </w:p>
    <w:p w14:paraId="7DD12FB1" w14:textId="77777777" w:rsidR="003850D7" w:rsidRPr="003850D7" w:rsidRDefault="003850D7" w:rsidP="003850D7">
      <w:r w:rsidRPr="003850D7">
        <w:t>Compliance with this policy will be monitored through regular audits and reviews. Non-compliance will be addressed through appropriate disciplinary actions.</w:t>
      </w:r>
    </w:p>
    <w:p w14:paraId="5D1F9947" w14:textId="77777777" w:rsidR="003850D7" w:rsidRPr="003850D7" w:rsidRDefault="003850D7" w:rsidP="003850D7">
      <w:pPr>
        <w:rPr>
          <w:b/>
          <w:bCs/>
        </w:rPr>
      </w:pPr>
      <w:r w:rsidRPr="003850D7">
        <w:rPr>
          <w:b/>
          <w:bCs/>
        </w:rPr>
        <w:t>9. Review and Updates</w:t>
      </w:r>
    </w:p>
    <w:p w14:paraId="20481BED" w14:textId="77777777" w:rsidR="003850D7" w:rsidRPr="003850D7" w:rsidRDefault="003850D7" w:rsidP="003850D7">
      <w:r w:rsidRPr="003850D7">
        <w:lastRenderedPageBreak/>
        <w:t>This policy will be reviewed annually and updated as necessary to reflect changes in legal, regulatory, or operational requirements.</w:t>
      </w:r>
    </w:p>
    <w:p w14:paraId="0964127E" w14:textId="77777777" w:rsidR="003850D7" w:rsidRPr="003850D7" w:rsidRDefault="003850D7" w:rsidP="003850D7">
      <w:pPr>
        <w:rPr>
          <w:b/>
          <w:bCs/>
        </w:rPr>
      </w:pPr>
      <w:r w:rsidRPr="003850D7">
        <w:rPr>
          <w:b/>
          <w:bCs/>
        </w:rPr>
        <w:t>10. Contact Information</w:t>
      </w:r>
    </w:p>
    <w:p w14:paraId="5F261283" w14:textId="77777777" w:rsidR="003850D7" w:rsidRPr="003850D7" w:rsidRDefault="003850D7" w:rsidP="003850D7">
      <w:r w:rsidRPr="003850D7">
        <w:t>For questions or concerns regarding this policy, please contact:</w:t>
      </w:r>
    </w:p>
    <w:p w14:paraId="52A101E8" w14:textId="77777777" w:rsidR="003850D7" w:rsidRPr="003850D7" w:rsidRDefault="003850D7" w:rsidP="003850D7">
      <w:r w:rsidRPr="003850D7">
        <w:t>[Contact Name] [Contact Email] [Contact Phone Number]</w:t>
      </w:r>
    </w:p>
    <w:p w14:paraId="05D304B7" w14:textId="77777777" w:rsidR="003850D7" w:rsidRPr="003850D7" w:rsidRDefault="003850D7" w:rsidP="003850D7">
      <w:r w:rsidRPr="003850D7">
        <w:pict w14:anchorId="41BC6C43">
          <v:rect id="_x0000_i1031" style="width:522pt;height:0" o:hrpct="0" o:hralign="center" o:hrstd="t" o:hr="t" fillcolor="#a0a0a0" stroked="f"/>
        </w:pict>
      </w:r>
    </w:p>
    <w:p w14:paraId="0AE85774" w14:textId="536EA374" w:rsidR="003850D7" w:rsidRDefault="00C85FAE">
      <w:r>
        <w:t xml:space="preserve"> </w:t>
      </w:r>
    </w:p>
    <w:sectPr w:rsidR="00385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14524"/>
    <w:multiLevelType w:val="multilevel"/>
    <w:tmpl w:val="63C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0F1568"/>
    <w:multiLevelType w:val="multilevel"/>
    <w:tmpl w:val="CABC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42B78"/>
    <w:multiLevelType w:val="multilevel"/>
    <w:tmpl w:val="BD5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105492">
    <w:abstractNumId w:val="1"/>
  </w:num>
  <w:num w:numId="2" w16cid:durableId="1667172473">
    <w:abstractNumId w:val="2"/>
  </w:num>
  <w:num w:numId="3" w16cid:durableId="179976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45"/>
    <w:rsid w:val="003850D7"/>
    <w:rsid w:val="004F545B"/>
    <w:rsid w:val="00C85FAE"/>
    <w:rsid w:val="00F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255B"/>
  <w15:chartTrackingRefBased/>
  <w15:docId w15:val="{D8734CD4-EDD9-4CF1-97E3-47A093CE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445"/>
    <w:rPr>
      <w:rFonts w:eastAsiaTheme="majorEastAsia" w:cstheme="majorBidi"/>
      <w:color w:val="272727" w:themeColor="text1" w:themeTint="D8"/>
    </w:rPr>
  </w:style>
  <w:style w:type="paragraph" w:styleId="Title">
    <w:name w:val="Title"/>
    <w:basedOn w:val="Normal"/>
    <w:next w:val="Normal"/>
    <w:link w:val="TitleChar"/>
    <w:uiPriority w:val="10"/>
    <w:qFormat/>
    <w:rsid w:val="00F41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445"/>
    <w:pPr>
      <w:spacing w:before="160"/>
      <w:jc w:val="center"/>
    </w:pPr>
    <w:rPr>
      <w:i/>
      <w:iCs/>
      <w:color w:val="404040" w:themeColor="text1" w:themeTint="BF"/>
    </w:rPr>
  </w:style>
  <w:style w:type="character" w:customStyle="1" w:styleId="QuoteChar">
    <w:name w:val="Quote Char"/>
    <w:basedOn w:val="DefaultParagraphFont"/>
    <w:link w:val="Quote"/>
    <w:uiPriority w:val="29"/>
    <w:rsid w:val="00F41445"/>
    <w:rPr>
      <w:i/>
      <w:iCs/>
      <w:color w:val="404040" w:themeColor="text1" w:themeTint="BF"/>
    </w:rPr>
  </w:style>
  <w:style w:type="paragraph" w:styleId="ListParagraph">
    <w:name w:val="List Paragraph"/>
    <w:basedOn w:val="Normal"/>
    <w:uiPriority w:val="34"/>
    <w:qFormat/>
    <w:rsid w:val="00F41445"/>
    <w:pPr>
      <w:ind w:left="720"/>
      <w:contextualSpacing/>
    </w:pPr>
  </w:style>
  <w:style w:type="character" w:styleId="IntenseEmphasis">
    <w:name w:val="Intense Emphasis"/>
    <w:basedOn w:val="DefaultParagraphFont"/>
    <w:uiPriority w:val="21"/>
    <w:qFormat/>
    <w:rsid w:val="00F41445"/>
    <w:rPr>
      <w:i/>
      <w:iCs/>
      <w:color w:val="0F4761" w:themeColor="accent1" w:themeShade="BF"/>
    </w:rPr>
  </w:style>
  <w:style w:type="paragraph" w:styleId="IntenseQuote">
    <w:name w:val="Intense Quote"/>
    <w:basedOn w:val="Normal"/>
    <w:next w:val="Normal"/>
    <w:link w:val="IntenseQuoteChar"/>
    <w:uiPriority w:val="30"/>
    <w:qFormat/>
    <w:rsid w:val="00F41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445"/>
    <w:rPr>
      <w:i/>
      <w:iCs/>
      <w:color w:val="0F4761" w:themeColor="accent1" w:themeShade="BF"/>
    </w:rPr>
  </w:style>
  <w:style w:type="character" w:styleId="IntenseReference">
    <w:name w:val="Intense Reference"/>
    <w:basedOn w:val="DefaultParagraphFont"/>
    <w:uiPriority w:val="32"/>
    <w:qFormat/>
    <w:rsid w:val="00F41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07095">
      <w:bodyDiv w:val="1"/>
      <w:marLeft w:val="0"/>
      <w:marRight w:val="0"/>
      <w:marTop w:val="0"/>
      <w:marBottom w:val="0"/>
      <w:divBdr>
        <w:top w:val="none" w:sz="0" w:space="0" w:color="auto"/>
        <w:left w:val="none" w:sz="0" w:space="0" w:color="auto"/>
        <w:bottom w:val="none" w:sz="0" w:space="0" w:color="auto"/>
        <w:right w:val="none" w:sz="0" w:space="0" w:color="auto"/>
      </w:divBdr>
    </w:div>
    <w:div w:id="17232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3</cp:revision>
  <dcterms:created xsi:type="dcterms:W3CDTF">2025-05-30T01:36:00Z</dcterms:created>
  <dcterms:modified xsi:type="dcterms:W3CDTF">2025-05-30T01:36:00Z</dcterms:modified>
</cp:coreProperties>
</file>