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CA1EF" w14:textId="2DB56638" w:rsidR="004D01B5" w:rsidRDefault="006C36B7">
      <w:r w:rsidRPr="006C36B7">
        <w:t>Generate a policy</w:t>
      </w:r>
      <w:r w:rsidR="0006021A">
        <w:t xml:space="preserve"> </w:t>
      </w:r>
      <w:r w:rsidR="0006021A">
        <w:t>secure</w:t>
      </w:r>
      <w:r w:rsidRPr="006C36B7">
        <w:t xml:space="preserve"> for data retention policy. Ensure security best practices.</w:t>
      </w:r>
    </w:p>
    <w:p w14:paraId="593C8E95" w14:textId="77777777" w:rsidR="006C36B7" w:rsidRDefault="006C36B7"/>
    <w:p w14:paraId="3E50D15B" w14:textId="77777777" w:rsidR="006C36B7" w:rsidRPr="006C36B7" w:rsidRDefault="006C36B7" w:rsidP="006C36B7">
      <w:r w:rsidRPr="006C36B7">
        <w:t xml:space="preserve">Here's a sample </w:t>
      </w:r>
      <w:r w:rsidRPr="006C36B7">
        <w:rPr>
          <w:b/>
          <w:bCs/>
        </w:rPr>
        <w:t>Data Retention Policy</w:t>
      </w:r>
      <w:r w:rsidRPr="006C36B7">
        <w:t xml:space="preserve"> that aligns with data security </w:t>
      </w:r>
      <w:proofErr w:type="gramStart"/>
      <w:r w:rsidRPr="006C36B7">
        <w:t>best</w:t>
      </w:r>
      <w:proofErr w:type="gramEnd"/>
      <w:r w:rsidRPr="006C36B7">
        <w:t xml:space="preserve"> practices and can be adapted for most organizations:</w:t>
      </w:r>
    </w:p>
    <w:p w14:paraId="3D7C58E4" w14:textId="77777777" w:rsidR="006C36B7" w:rsidRPr="006C36B7" w:rsidRDefault="00000000" w:rsidP="006C36B7">
      <w:r>
        <w:pict w14:anchorId="275BF8E2">
          <v:rect id="_x0000_i1025" style="width:0;height:1.5pt" o:hralign="center" o:hrstd="t" o:hr="t" fillcolor="#a0a0a0" stroked="f"/>
        </w:pict>
      </w:r>
    </w:p>
    <w:p w14:paraId="666AEB95" w14:textId="77777777" w:rsidR="006C36B7" w:rsidRPr="006C36B7" w:rsidRDefault="006C36B7" w:rsidP="006C36B7">
      <w:r w:rsidRPr="006C36B7">
        <w:rPr>
          <w:b/>
          <w:bCs/>
        </w:rPr>
        <w:t>Data Retention Policy</w:t>
      </w:r>
    </w:p>
    <w:p w14:paraId="2EDC9B48" w14:textId="77777777" w:rsidR="006C36B7" w:rsidRPr="006C36B7" w:rsidRDefault="006C36B7" w:rsidP="006C36B7">
      <w:r w:rsidRPr="006C36B7">
        <w:rPr>
          <w:b/>
          <w:bCs/>
        </w:rPr>
        <w:t>1. Purpose</w:t>
      </w:r>
      <w:r w:rsidRPr="006C36B7">
        <w:br/>
        <w:t>This Data Retention Policy outlines the procedures and guidelines for retaining, storing, and securely disposing of data to ensure compliance with legal, regulatory, and operational requirements while protecting sensitive information from unauthorized access or disclosure.</w:t>
      </w:r>
    </w:p>
    <w:p w14:paraId="603DDF10" w14:textId="77777777" w:rsidR="006C36B7" w:rsidRPr="006C36B7" w:rsidRDefault="006C36B7" w:rsidP="006C36B7">
      <w:r w:rsidRPr="006C36B7">
        <w:rPr>
          <w:b/>
          <w:bCs/>
        </w:rPr>
        <w:t>2. Scope</w:t>
      </w:r>
      <w:r w:rsidRPr="006C36B7">
        <w:br/>
        <w:t>This policy applies to all employees, contractors, and third-party service providers who handle data for [Organization Name], including electronic and paper records.</w:t>
      </w:r>
    </w:p>
    <w:p w14:paraId="40A354B6" w14:textId="77777777" w:rsidR="006C36B7" w:rsidRPr="006C36B7" w:rsidRDefault="006C36B7" w:rsidP="006C36B7">
      <w:r w:rsidRPr="006C36B7">
        <w:rPr>
          <w:b/>
          <w:bCs/>
        </w:rPr>
        <w:t>3. Data Classification</w:t>
      </w:r>
      <w:r w:rsidRPr="006C36B7">
        <w:br/>
        <w:t>Data will be categorized into the following types:</w:t>
      </w:r>
    </w:p>
    <w:p w14:paraId="54F5932C" w14:textId="77777777" w:rsidR="006C36B7" w:rsidRPr="006C36B7" w:rsidRDefault="006C36B7" w:rsidP="006C36B7">
      <w:pPr>
        <w:numPr>
          <w:ilvl w:val="0"/>
          <w:numId w:val="1"/>
        </w:numPr>
      </w:pPr>
      <w:r w:rsidRPr="006C36B7">
        <w:rPr>
          <w:b/>
          <w:bCs/>
        </w:rPr>
        <w:t>Confidential:</w:t>
      </w:r>
      <w:r w:rsidRPr="006C36B7">
        <w:t xml:space="preserve"> Personally Identifiable Information (PII), financial data, health records, etc.</w:t>
      </w:r>
    </w:p>
    <w:p w14:paraId="6C1BDCA4" w14:textId="77777777" w:rsidR="006C36B7" w:rsidRPr="006C36B7" w:rsidRDefault="006C36B7" w:rsidP="006C36B7">
      <w:pPr>
        <w:numPr>
          <w:ilvl w:val="0"/>
          <w:numId w:val="1"/>
        </w:numPr>
      </w:pPr>
      <w:r w:rsidRPr="006C36B7">
        <w:rPr>
          <w:b/>
          <w:bCs/>
        </w:rPr>
        <w:t>Internal:</w:t>
      </w:r>
      <w:r w:rsidRPr="006C36B7">
        <w:t xml:space="preserve"> Business process documents, internal communications.</w:t>
      </w:r>
    </w:p>
    <w:p w14:paraId="03EC81BC" w14:textId="77777777" w:rsidR="006C36B7" w:rsidRPr="006C36B7" w:rsidRDefault="006C36B7" w:rsidP="006C36B7">
      <w:pPr>
        <w:numPr>
          <w:ilvl w:val="0"/>
          <w:numId w:val="1"/>
        </w:numPr>
      </w:pPr>
      <w:r w:rsidRPr="006C36B7">
        <w:rPr>
          <w:b/>
          <w:bCs/>
        </w:rPr>
        <w:t>Public:</w:t>
      </w:r>
      <w:r w:rsidRPr="006C36B7">
        <w:t xml:space="preserve"> Marketing materials, press releases, etc.</w:t>
      </w:r>
    </w:p>
    <w:p w14:paraId="2339AA0B" w14:textId="77777777" w:rsidR="006C36B7" w:rsidRPr="006C36B7" w:rsidRDefault="006C36B7" w:rsidP="006C36B7">
      <w:r w:rsidRPr="006C36B7">
        <w:rPr>
          <w:b/>
          <w:bCs/>
        </w:rPr>
        <w:t>4. Retention Periods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9"/>
        <w:gridCol w:w="2692"/>
        <w:gridCol w:w="3136"/>
      </w:tblGrid>
      <w:tr w:rsidR="006C36B7" w:rsidRPr="006C36B7" w14:paraId="301BA3F8" w14:textId="77777777" w:rsidTr="006C36B7">
        <w:trPr>
          <w:tblHeader/>
          <w:tblCellSpacing w:w="15" w:type="dxa"/>
        </w:trPr>
        <w:tc>
          <w:tcPr>
            <w:tcW w:w="0" w:type="auto"/>
            <w:vAlign w:val="center"/>
            <w:hideMark/>
          </w:tcPr>
          <w:p w14:paraId="763D29EE" w14:textId="77777777" w:rsidR="006C36B7" w:rsidRPr="006C36B7" w:rsidRDefault="006C36B7" w:rsidP="006C36B7">
            <w:pPr>
              <w:rPr>
                <w:b/>
                <w:bCs/>
              </w:rPr>
            </w:pPr>
            <w:r w:rsidRPr="006C36B7">
              <w:rPr>
                <w:b/>
                <w:bCs/>
              </w:rPr>
              <w:t>Data Type</w:t>
            </w:r>
          </w:p>
        </w:tc>
        <w:tc>
          <w:tcPr>
            <w:tcW w:w="0" w:type="auto"/>
            <w:vAlign w:val="center"/>
            <w:hideMark/>
          </w:tcPr>
          <w:p w14:paraId="237E89AC" w14:textId="77777777" w:rsidR="006C36B7" w:rsidRPr="006C36B7" w:rsidRDefault="006C36B7" w:rsidP="006C36B7">
            <w:pPr>
              <w:rPr>
                <w:b/>
                <w:bCs/>
              </w:rPr>
            </w:pPr>
            <w:r w:rsidRPr="006C36B7">
              <w:rPr>
                <w:b/>
                <w:bCs/>
              </w:rPr>
              <w:t>Retention Period</w:t>
            </w:r>
          </w:p>
        </w:tc>
        <w:tc>
          <w:tcPr>
            <w:tcW w:w="0" w:type="auto"/>
            <w:vAlign w:val="center"/>
            <w:hideMark/>
          </w:tcPr>
          <w:p w14:paraId="487448DA" w14:textId="77777777" w:rsidR="006C36B7" w:rsidRPr="006C36B7" w:rsidRDefault="006C36B7" w:rsidP="006C36B7">
            <w:pPr>
              <w:rPr>
                <w:b/>
                <w:bCs/>
              </w:rPr>
            </w:pPr>
            <w:r w:rsidRPr="006C36B7">
              <w:rPr>
                <w:b/>
                <w:bCs/>
              </w:rPr>
              <w:t>Disposal Method</w:t>
            </w:r>
          </w:p>
        </w:tc>
      </w:tr>
      <w:tr w:rsidR="006C36B7" w:rsidRPr="006C36B7" w14:paraId="65256665" w14:textId="77777777" w:rsidTr="006C36B7">
        <w:trPr>
          <w:tblCellSpacing w:w="15" w:type="dxa"/>
        </w:trPr>
        <w:tc>
          <w:tcPr>
            <w:tcW w:w="0" w:type="auto"/>
            <w:vAlign w:val="center"/>
            <w:hideMark/>
          </w:tcPr>
          <w:p w14:paraId="2F6E3397" w14:textId="77777777" w:rsidR="006C36B7" w:rsidRPr="006C36B7" w:rsidRDefault="006C36B7" w:rsidP="006C36B7">
            <w:r w:rsidRPr="006C36B7">
              <w:t>Financial records</w:t>
            </w:r>
          </w:p>
        </w:tc>
        <w:tc>
          <w:tcPr>
            <w:tcW w:w="0" w:type="auto"/>
            <w:vAlign w:val="center"/>
            <w:hideMark/>
          </w:tcPr>
          <w:p w14:paraId="31BE012C" w14:textId="77777777" w:rsidR="006C36B7" w:rsidRPr="006C36B7" w:rsidRDefault="006C36B7" w:rsidP="006C36B7">
            <w:r w:rsidRPr="006C36B7">
              <w:t>7 years</w:t>
            </w:r>
          </w:p>
        </w:tc>
        <w:tc>
          <w:tcPr>
            <w:tcW w:w="0" w:type="auto"/>
            <w:vAlign w:val="center"/>
            <w:hideMark/>
          </w:tcPr>
          <w:p w14:paraId="613FBC3D" w14:textId="77777777" w:rsidR="006C36B7" w:rsidRPr="006C36B7" w:rsidRDefault="006C36B7" w:rsidP="006C36B7">
            <w:r w:rsidRPr="006C36B7">
              <w:t>Shredding/encrypted deletion</w:t>
            </w:r>
          </w:p>
        </w:tc>
      </w:tr>
      <w:tr w:rsidR="006C36B7" w:rsidRPr="006C36B7" w14:paraId="44AA918C" w14:textId="77777777" w:rsidTr="006C36B7">
        <w:trPr>
          <w:tblCellSpacing w:w="15" w:type="dxa"/>
        </w:trPr>
        <w:tc>
          <w:tcPr>
            <w:tcW w:w="0" w:type="auto"/>
            <w:vAlign w:val="center"/>
            <w:hideMark/>
          </w:tcPr>
          <w:p w14:paraId="66D622A8" w14:textId="77777777" w:rsidR="006C36B7" w:rsidRPr="006C36B7" w:rsidRDefault="006C36B7" w:rsidP="006C36B7">
            <w:r w:rsidRPr="006C36B7">
              <w:t>Employee records</w:t>
            </w:r>
          </w:p>
        </w:tc>
        <w:tc>
          <w:tcPr>
            <w:tcW w:w="0" w:type="auto"/>
            <w:vAlign w:val="center"/>
            <w:hideMark/>
          </w:tcPr>
          <w:p w14:paraId="3FFC6B6F" w14:textId="77777777" w:rsidR="006C36B7" w:rsidRPr="006C36B7" w:rsidRDefault="006C36B7" w:rsidP="006C36B7">
            <w:r w:rsidRPr="006C36B7">
              <w:t xml:space="preserve">7 </w:t>
            </w:r>
            <w:proofErr w:type="gramStart"/>
            <w:r w:rsidRPr="006C36B7">
              <w:t>years</w:t>
            </w:r>
            <w:proofErr w:type="gramEnd"/>
            <w:r w:rsidRPr="006C36B7">
              <w:t xml:space="preserve"> post-employment</w:t>
            </w:r>
          </w:p>
        </w:tc>
        <w:tc>
          <w:tcPr>
            <w:tcW w:w="0" w:type="auto"/>
            <w:vAlign w:val="center"/>
            <w:hideMark/>
          </w:tcPr>
          <w:p w14:paraId="51B26A73" w14:textId="77777777" w:rsidR="006C36B7" w:rsidRPr="006C36B7" w:rsidRDefault="006C36B7" w:rsidP="006C36B7">
            <w:r w:rsidRPr="006C36B7">
              <w:t>Secure destruction</w:t>
            </w:r>
          </w:p>
        </w:tc>
      </w:tr>
      <w:tr w:rsidR="006C36B7" w:rsidRPr="006C36B7" w14:paraId="4C7683CE" w14:textId="77777777" w:rsidTr="006C36B7">
        <w:trPr>
          <w:tblCellSpacing w:w="15" w:type="dxa"/>
        </w:trPr>
        <w:tc>
          <w:tcPr>
            <w:tcW w:w="0" w:type="auto"/>
            <w:vAlign w:val="center"/>
            <w:hideMark/>
          </w:tcPr>
          <w:p w14:paraId="5E9E848B" w14:textId="77777777" w:rsidR="006C36B7" w:rsidRPr="006C36B7" w:rsidRDefault="006C36B7" w:rsidP="006C36B7">
            <w:r w:rsidRPr="006C36B7">
              <w:t>Customer data (PII)</w:t>
            </w:r>
          </w:p>
        </w:tc>
        <w:tc>
          <w:tcPr>
            <w:tcW w:w="0" w:type="auto"/>
            <w:vAlign w:val="center"/>
            <w:hideMark/>
          </w:tcPr>
          <w:p w14:paraId="024FBCCA" w14:textId="77777777" w:rsidR="006C36B7" w:rsidRPr="006C36B7" w:rsidRDefault="006C36B7" w:rsidP="006C36B7">
            <w:r w:rsidRPr="006C36B7">
              <w:t>5 years after last activity</w:t>
            </w:r>
          </w:p>
        </w:tc>
        <w:tc>
          <w:tcPr>
            <w:tcW w:w="0" w:type="auto"/>
            <w:vAlign w:val="center"/>
            <w:hideMark/>
          </w:tcPr>
          <w:p w14:paraId="480A4143" w14:textId="77777777" w:rsidR="006C36B7" w:rsidRPr="006C36B7" w:rsidRDefault="006C36B7" w:rsidP="006C36B7">
            <w:r w:rsidRPr="006C36B7">
              <w:t>Anonymization/deletion</w:t>
            </w:r>
          </w:p>
        </w:tc>
      </w:tr>
      <w:tr w:rsidR="006C36B7" w:rsidRPr="006C36B7" w14:paraId="2451C74A" w14:textId="77777777" w:rsidTr="006C36B7">
        <w:trPr>
          <w:tblCellSpacing w:w="15" w:type="dxa"/>
        </w:trPr>
        <w:tc>
          <w:tcPr>
            <w:tcW w:w="0" w:type="auto"/>
            <w:vAlign w:val="center"/>
            <w:hideMark/>
          </w:tcPr>
          <w:p w14:paraId="79AB45DB" w14:textId="77777777" w:rsidR="006C36B7" w:rsidRPr="006C36B7" w:rsidRDefault="006C36B7" w:rsidP="006C36B7">
            <w:r w:rsidRPr="006C36B7">
              <w:t>Emails</w:t>
            </w:r>
          </w:p>
        </w:tc>
        <w:tc>
          <w:tcPr>
            <w:tcW w:w="0" w:type="auto"/>
            <w:vAlign w:val="center"/>
            <w:hideMark/>
          </w:tcPr>
          <w:p w14:paraId="3AA3E276" w14:textId="77777777" w:rsidR="006C36B7" w:rsidRPr="006C36B7" w:rsidRDefault="006C36B7" w:rsidP="006C36B7">
            <w:r w:rsidRPr="006C36B7">
              <w:t>3 years</w:t>
            </w:r>
          </w:p>
        </w:tc>
        <w:tc>
          <w:tcPr>
            <w:tcW w:w="0" w:type="auto"/>
            <w:vAlign w:val="center"/>
            <w:hideMark/>
          </w:tcPr>
          <w:p w14:paraId="3C33A51B" w14:textId="77777777" w:rsidR="006C36B7" w:rsidRPr="006C36B7" w:rsidRDefault="006C36B7" w:rsidP="006C36B7">
            <w:r w:rsidRPr="006C36B7">
              <w:t>Secure deletion</w:t>
            </w:r>
          </w:p>
        </w:tc>
      </w:tr>
      <w:tr w:rsidR="006C36B7" w:rsidRPr="006C36B7" w14:paraId="1D74DF94" w14:textId="77777777" w:rsidTr="006C36B7">
        <w:trPr>
          <w:tblCellSpacing w:w="15" w:type="dxa"/>
        </w:trPr>
        <w:tc>
          <w:tcPr>
            <w:tcW w:w="0" w:type="auto"/>
            <w:vAlign w:val="center"/>
            <w:hideMark/>
          </w:tcPr>
          <w:p w14:paraId="70572A7C" w14:textId="77777777" w:rsidR="006C36B7" w:rsidRPr="006C36B7" w:rsidRDefault="006C36B7" w:rsidP="006C36B7">
            <w:r w:rsidRPr="006C36B7">
              <w:t>Logs (Security/Audit)</w:t>
            </w:r>
          </w:p>
        </w:tc>
        <w:tc>
          <w:tcPr>
            <w:tcW w:w="0" w:type="auto"/>
            <w:vAlign w:val="center"/>
            <w:hideMark/>
          </w:tcPr>
          <w:p w14:paraId="5B05D79F" w14:textId="77777777" w:rsidR="006C36B7" w:rsidRPr="006C36B7" w:rsidRDefault="006C36B7" w:rsidP="006C36B7">
            <w:r w:rsidRPr="006C36B7">
              <w:t>1 year</w:t>
            </w:r>
          </w:p>
        </w:tc>
        <w:tc>
          <w:tcPr>
            <w:tcW w:w="0" w:type="auto"/>
            <w:vAlign w:val="center"/>
            <w:hideMark/>
          </w:tcPr>
          <w:p w14:paraId="0A2DE347" w14:textId="77777777" w:rsidR="006C36B7" w:rsidRPr="006C36B7" w:rsidRDefault="006C36B7" w:rsidP="006C36B7">
            <w:r w:rsidRPr="006C36B7">
              <w:t>Secure deletion</w:t>
            </w:r>
          </w:p>
        </w:tc>
      </w:tr>
    </w:tbl>
    <w:p w14:paraId="27B200DE" w14:textId="77777777" w:rsidR="006C36B7" w:rsidRPr="006C36B7" w:rsidRDefault="006C36B7" w:rsidP="006C36B7">
      <w:r w:rsidRPr="006C36B7">
        <w:rPr>
          <w:b/>
          <w:bCs/>
        </w:rPr>
        <w:t>5. Secure Storage and Access</w:t>
      </w:r>
    </w:p>
    <w:p w14:paraId="72D7FECA" w14:textId="77777777" w:rsidR="006C36B7" w:rsidRPr="006C36B7" w:rsidRDefault="006C36B7" w:rsidP="006C36B7">
      <w:pPr>
        <w:numPr>
          <w:ilvl w:val="0"/>
          <w:numId w:val="2"/>
        </w:numPr>
      </w:pPr>
      <w:r w:rsidRPr="006C36B7">
        <w:lastRenderedPageBreak/>
        <w:t>Data must be stored using encrypted systems.</w:t>
      </w:r>
    </w:p>
    <w:p w14:paraId="635689C9" w14:textId="77777777" w:rsidR="006C36B7" w:rsidRPr="006C36B7" w:rsidRDefault="006C36B7" w:rsidP="006C36B7">
      <w:pPr>
        <w:numPr>
          <w:ilvl w:val="0"/>
          <w:numId w:val="2"/>
        </w:numPr>
      </w:pPr>
      <w:r w:rsidRPr="006C36B7">
        <w:t xml:space="preserve">Access controls must enforce the principle of </w:t>
      </w:r>
      <w:proofErr w:type="gramStart"/>
      <w:r w:rsidRPr="006C36B7">
        <w:t>least</w:t>
      </w:r>
      <w:proofErr w:type="gramEnd"/>
      <w:r w:rsidRPr="006C36B7">
        <w:t xml:space="preserve"> privilege.</w:t>
      </w:r>
    </w:p>
    <w:p w14:paraId="09F0CE59" w14:textId="77777777" w:rsidR="006C36B7" w:rsidRPr="006C36B7" w:rsidRDefault="006C36B7" w:rsidP="006C36B7">
      <w:pPr>
        <w:numPr>
          <w:ilvl w:val="0"/>
          <w:numId w:val="2"/>
        </w:numPr>
      </w:pPr>
      <w:r w:rsidRPr="006C36B7">
        <w:t>All systems must utilize multi-factor authentication (MFA).</w:t>
      </w:r>
    </w:p>
    <w:p w14:paraId="7628D624" w14:textId="77777777" w:rsidR="006C36B7" w:rsidRPr="006C36B7" w:rsidRDefault="006C36B7" w:rsidP="006C36B7">
      <w:r w:rsidRPr="006C36B7">
        <w:rPr>
          <w:b/>
          <w:bCs/>
        </w:rPr>
        <w:t>6. Data Disposal</w:t>
      </w:r>
    </w:p>
    <w:p w14:paraId="17AC0A8F" w14:textId="77777777" w:rsidR="006C36B7" w:rsidRPr="006C36B7" w:rsidRDefault="006C36B7" w:rsidP="006C36B7">
      <w:pPr>
        <w:numPr>
          <w:ilvl w:val="0"/>
          <w:numId w:val="3"/>
        </w:numPr>
      </w:pPr>
      <w:r w:rsidRPr="006C36B7">
        <w:t>Electronic data must be deleted using secure wiping tools compliant with DoD 5220.22-M or NIST SP 800-88 standards.</w:t>
      </w:r>
    </w:p>
    <w:p w14:paraId="3E1DBD95" w14:textId="77777777" w:rsidR="006C36B7" w:rsidRPr="006C36B7" w:rsidRDefault="006C36B7" w:rsidP="006C36B7">
      <w:pPr>
        <w:numPr>
          <w:ilvl w:val="0"/>
          <w:numId w:val="3"/>
        </w:numPr>
      </w:pPr>
      <w:r w:rsidRPr="006C36B7">
        <w:t>Paper records must be shredded using cross-cut shredders or incinerated.</w:t>
      </w:r>
    </w:p>
    <w:p w14:paraId="15FEC85C" w14:textId="77777777" w:rsidR="006C36B7" w:rsidRPr="006C36B7" w:rsidRDefault="006C36B7" w:rsidP="006C36B7">
      <w:r w:rsidRPr="006C36B7">
        <w:rPr>
          <w:b/>
          <w:bCs/>
        </w:rPr>
        <w:t>7. Compliance and Monitoring</w:t>
      </w:r>
    </w:p>
    <w:p w14:paraId="6A5932FB" w14:textId="77777777" w:rsidR="006C36B7" w:rsidRPr="006C36B7" w:rsidRDefault="006C36B7" w:rsidP="006C36B7">
      <w:pPr>
        <w:numPr>
          <w:ilvl w:val="0"/>
          <w:numId w:val="4"/>
        </w:numPr>
      </w:pPr>
      <w:r w:rsidRPr="006C36B7">
        <w:t>Regular audits will be conducted to ensure compliance.</w:t>
      </w:r>
    </w:p>
    <w:p w14:paraId="7B05C4E9" w14:textId="77777777" w:rsidR="006C36B7" w:rsidRPr="006C36B7" w:rsidRDefault="006C36B7" w:rsidP="006C36B7">
      <w:pPr>
        <w:numPr>
          <w:ilvl w:val="0"/>
          <w:numId w:val="4"/>
        </w:numPr>
      </w:pPr>
      <w:r w:rsidRPr="006C36B7">
        <w:t>Violations of this policy may result in disciplinary action up to and including termination.</w:t>
      </w:r>
    </w:p>
    <w:p w14:paraId="276016E8" w14:textId="77777777" w:rsidR="006C36B7" w:rsidRPr="006C36B7" w:rsidRDefault="006C36B7" w:rsidP="006C36B7">
      <w:r w:rsidRPr="006C36B7">
        <w:rPr>
          <w:b/>
          <w:bCs/>
        </w:rPr>
        <w:t>8. Policy Review</w:t>
      </w:r>
      <w:r w:rsidRPr="006C36B7">
        <w:br/>
        <w:t>This policy shall be reviewed annually or upon significant changes to applicable regulations or business processes.</w:t>
      </w:r>
    </w:p>
    <w:p w14:paraId="2C5B8A4A" w14:textId="77777777" w:rsidR="006C36B7" w:rsidRPr="006C36B7" w:rsidRDefault="006C36B7" w:rsidP="006C36B7">
      <w:r w:rsidRPr="006C36B7">
        <w:rPr>
          <w:b/>
          <w:bCs/>
        </w:rPr>
        <w:t>9. Roles and Responsibilities</w:t>
      </w:r>
    </w:p>
    <w:p w14:paraId="4ED501B6" w14:textId="77777777" w:rsidR="006C36B7" w:rsidRPr="006C36B7" w:rsidRDefault="006C36B7" w:rsidP="006C36B7">
      <w:pPr>
        <w:numPr>
          <w:ilvl w:val="0"/>
          <w:numId w:val="5"/>
        </w:numPr>
      </w:pPr>
      <w:r w:rsidRPr="006C36B7">
        <w:rPr>
          <w:b/>
          <w:bCs/>
        </w:rPr>
        <w:t>Data Owners:</w:t>
      </w:r>
      <w:r w:rsidRPr="006C36B7">
        <w:t xml:space="preserve"> Ensure compliance with retention schedules.</w:t>
      </w:r>
    </w:p>
    <w:p w14:paraId="5CAF923C" w14:textId="77777777" w:rsidR="006C36B7" w:rsidRPr="006C36B7" w:rsidRDefault="006C36B7" w:rsidP="006C36B7">
      <w:pPr>
        <w:numPr>
          <w:ilvl w:val="0"/>
          <w:numId w:val="5"/>
        </w:numPr>
      </w:pPr>
      <w:r w:rsidRPr="006C36B7">
        <w:rPr>
          <w:b/>
          <w:bCs/>
        </w:rPr>
        <w:t>IT Department:</w:t>
      </w:r>
      <w:r w:rsidRPr="006C36B7">
        <w:t xml:space="preserve"> Implement technical safeguards and secure disposal mechanisms.</w:t>
      </w:r>
    </w:p>
    <w:p w14:paraId="5689EFF2" w14:textId="77777777" w:rsidR="006C36B7" w:rsidRPr="006C36B7" w:rsidRDefault="006C36B7" w:rsidP="006C36B7">
      <w:pPr>
        <w:numPr>
          <w:ilvl w:val="0"/>
          <w:numId w:val="5"/>
        </w:numPr>
      </w:pPr>
      <w:r w:rsidRPr="006C36B7">
        <w:rPr>
          <w:b/>
          <w:bCs/>
        </w:rPr>
        <w:t>Compliance Officer:</w:t>
      </w:r>
      <w:r w:rsidRPr="006C36B7">
        <w:t xml:space="preserve"> Monitor adherence and audit readiness.</w:t>
      </w:r>
    </w:p>
    <w:p w14:paraId="04C70330" w14:textId="77777777" w:rsidR="006C36B7" w:rsidRPr="006C36B7" w:rsidRDefault="006C36B7" w:rsidP="006C36B7">
      <w:r w:rsidRPr="006C36B7">
        <w:rPr>
          <w:b/>
          <w:bCs/>
        </w:rPr>
        <w:t>10. Exceptions</w:t>
      </w:r>
      <w:r w:rsidRPr="006C36B7">
        <w:br/>
        <w:t>Any exceptions to this policy must be documented and approved by the Compliance Officer.</w:t>
      </w:r>
    </w:p>
    <w:p w14:paraId="61D20DF8" w14:textId="77777777" w:rsidR="006C36B7" w:rsidRPr="006C36B7" w:rsidRDefault="00000000" w:rsidP="006C36B7">
      <w:r>
        <w:pict w14:anchorId="0E67C72D">
          <v:rect id="_x0000_i1026" style="width:0;height:1.5pt" o:hralign="center" o:hrstd="t" o:hr="t" fillcolor="#a0a0a0" stroked="f"/>
        </w:pict>
      </w:r>
    </w:p>
    <w:p w14:paraId="6AB1E89A" w14:textId="1555C18B" w:rsidR="006C36B7" w:rsidRDefault="006C36B7">
      <w:r>
        <w:t xml:space="preserve"> </w:t>
      </w:r>
    </w:p>
    <w:sectPr w:rsidR="006C3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15D18"/>
    <w:multiLevelType w:val="multilevel"/>
    <w:tmpl w:val="3F3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01670"/>
    <w:multiLevelType w:val="multilevel"/>
    <w:tmpl w:val="D88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32F17"/>
    <w:multiLevelType w:val="multilevel"/>
    <w:tmpl w:val="656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33D09"/>
    <w:multiLevelType w:val="multilevel"/>
    <w:tmpl w:val="A03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3735B"/>
    <w:multiLevelType w:val="multilevel"/>
    <w:tmpl w:val="660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928664">
    <w:abstractNumId w:val="0"/>
  </w:num>
  <w:num w:numId="2" w16cid:durableId="1519657798">
    <w:abstractNumId w:val="2"/>
  </w:num>
  <w:num w:numId="3" w16cid:durableId="1245064859">
    <w:abstractNumId w:val="4"/>
  </w:num>
  <w:num w:numId="4" w16cid:durableId="537861547">
    <w:abstractNumId w:val="1"/>
  </w:num>
  <w:num w:numId="5" w16cid:durableId="1096824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B5"/>
    <w:rsid w:val="0006021A"/>
    <w:rsid w:val="002A2B9F"/>
    <w:rsid w:val="004D01B5"/>
    <w:rsid w:val="006C36B7"/>
    <w:rsid w:val="00C9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75B5"/>
  <w15:chartTrackingRefBased/>
  <w15:docId w15:val="{FDD9211C-061B-4F3A-BED1-9BE4B82D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1B5"/>
    <w:rPr>
      <w:rFonts w:eastAsiaTheme="majorEastAsia" w:cstheme="majorBidi"/>
      <w:color w:val="272727" w:themeColor="text1" w:themeTint="D8"/>
    </w:rPr>
  </w:style>
  <w:style w:type="paragraph" w:styleId="Title">
    <w:name w:val="Title"/>
    <w:basedOn w:val="Normal"/>
    <w:next w:val="Normal"/>
    <w:link w:val="TitleChar"/>
    <w:uiPriority w:val="10"/>
    <w:qFormat/>
    <w:rsid w:val="004D0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1B5"/>
    <w:pPr>
      <w:spacing w:before="160"/>
      <w:jc w:val="center"/>
    </w:pPr>
    <w:rPr>
      <w:i/>
      <w:iCs/>
      <w:color w:val="404040" w:themeColor="text1" w:themeTint="BF"/>
    </w:rPr>
  </w:style>
  <w:style w:type="character" w:customStyle="1" w:styleId="QuoteChar">
    <w:name w:val="Quote Char"/>
    <w:basedOn w:val="DefaultParagraphFont"/>
    <w:link w:val="Quote"/>
    <w:uiPriority w:val="29"/>
    <w:rsid w:val="004D01B5"/>
    <w:rPr>
      <w:i/>
      <w:iCs/>
      <w:color w:val="404040" w:themeColor="text1" w:themeTint="BF"/>
    </w:rPr>
  </w:style>
  <w:style w:type="paragraph" w:styleId="ListParagraph">
    <w:name w:val="List Paragraph"/>
    <w:basedOn w:val="Normal"/>
    <w:uiPriority w:val="34"/>
    <w:qFormat/>
    <w:rsid w:val="004D01B5"/>
    <w:pPr>
      <w:ind w:left="720"/>
      <w:contextualSpacing/>
    </w:pPr>
  </w:style>
  <w:style w:type="character" w:styleId="IntenseEmphasis">
    <w:name w:val="Intense Emphasis"/>
    <w:basedOn w:val="DefaultParagraphFont"/>
    <w:uiPriority w:val="21"/>
    <w:qFormat/>
    <w:rsid w:val="004D01B5"/>
    <w:rPr>
      <w:i/>
      <w:iCs/>
      <w:color w:val="0F4761" w:themeColor="accent1" w:themeShade="BF"/>
    </w:rPr>
  </w:style>
  <w:style w:type="paragraph" w:styleId="IntenseQuote">
    <w:name w:val="Intense Quote"/>
    <w:basedOn w:val="Normal"/>
    <w:next w:val="Normal"/>
    <w:link w:val="IntenseQuoteChar"/>
    <w:uiPriority w:val="30"/>
    <w:qFormat/>
    <w:rsid w:val="004D0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1B5"/>
    <w:rPr>
      <w:i/>
      <w:iCs/>
      <w:color w:val="0F4761" w:themeColor="accent1" w:themeShade="BF"/>
    </w:rPr>
  </w:style>
  <w:style w:type="character" w:styleId="IntenseReference">
    <w:name w:val="Intense Reference"/>
    <w:basedOn w:val="DefaultParagraphFont"/>
    <w:uiPriority w:val="32"/>
    <w:qFormat/>
    <w:rsid w:val="004D01B5"/>
    <w:rPr>
      <w:b/>
      <w:bCs/>
      <w:smallCaps/>
      <w:color w:val="0F4761" w:themeColor="accent1" w:themeShade="BF"/>
      <w:spacing w:val="5"/>
    </w:rPr>
  </w:style>
  <w:style w:type="character" w:styleId="Hyperlink">
    <w:name w:val="Hyperlink"/>
    <w:basedOn w:val="DefaultParagraphFont"/>
    <w:uiPriority w:val="99"/>
    <w:unhideWhenUsed/>
    <w:rsid w:val="006C36B7"/>
    <w:rPr>
      <w:color w:val="467886" w:themeColor="hyperlink"/>
      <w:u w:val="single"/>
    </w:rPr>
  </w:style>
  <w:style w:type="character" w:styleId="UnresolvedMention">
    <w:name w:val="Unresolved Mention"/>
    <w:basedOn w:val="DefaultParagraphFont"/>
    <w:uiPriority w:val="99"/>
    <w:semiHidden/>
    <w:unhideWhenUsed/>
    <w:rsid w:val="006C3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471465">
      <w:bodyDiv w:val="1"/>
      <w:marLeft w:val="0"/>
      <w:marRight w:val="0"/>
      <w:marTop w:val="0"/>
      <w:marBottom w:val="0"/>
      <w:divBdr>
        <w:top w:val="none" w:sz="0" w:space="0" w:color="auto"/>
        <w:left w:val="none" w:sz="0" w:space="0" w:color="auto"/>
        <w:bottom w:val="none" w:sz="0" w:space="0" w:color="auto"/>
        <w:right w:val="none" w:sz="0" w:space="0" w:color="auto"/>
      </w:divBdr>
    </w:div>
    <w:div w:id="20043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2025-05-30T01:05:00Z</dcterms:created>
  <dcterms:modified xsi:type="dcterms:W3CDTF">2025-07-12T20:28:00Z</dcterms:modified>
</cp:coreProperties>
</file>