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F2AEE" w14:textId="507B1592" w:rsidR="005609FA" w:rsidRDefault="000E43E4">
      <w:r w:rsidRPr="000E43E4">
        <w:t>Generate a policy for key management.</w:t>
      </w:r>
    </w:p>
    <w:p w14:paraId="4220F63E" w14:textId="77777777" w:rsidR="000E43E4" w:rsidRDefault="000E43E4"/>
    <w:p w14:paraId="1D29DC90" w14:textId="77777777" w:rsidR="000E43E4" w:rsidRPr="000E43E4" w:rsidRDefault="000E43E4" w:rsidP="000E43E4">
      <w:r w:rsidRPr="000E43E4">
        <w:rPr>
          <w:b/>
          <w:bCs/>
        </w:rPr>
        <w:t>Key Management Policy</w:t>
      </w:r>
      <w:r w:rsidRPr="000E43E4">
        <w:br/>
      </w:r>
      <w:r w:rsidRPr="000E43E4">
        <w:rPr>
          <w:b/>
          <w:bCs/>
        </w:rPr>
        <w:t>Effective Date:</w:t>
      </w:r>
      <w:r w:rsidRPr="000E43E4">
        <w:t> [Insert Date]</w:t>
      </w:r>
      <w:r w:rsidRPr="000E43E4">
        <w:br/>
      </w:r>
      <w:r w:rsidRPr="000E43E4">
        <w:rPr>
          <w:b/>
          <w:bCs/>
        </w:rPr>
        <w:t>Last Reviewed:</w:t>
      </w:r>
      <w:r w:rsidRPr="000E43E4">
        <w:t> [Insert Date]</w:t>
      </w:r>
      <w:r w:rsidRPr="000E43E4">
        <w:br/>
      </w:r>
      <w:r w:rsidRPr="000E43E4">
        <w:rPr>
          <w:b/>
          <w:bCs/>
        </w:rPr>
        <w:t>Policy Owner:</w:t>
      </w:r>
      <w:r w:rsidRPr="000E43E4">
        <w:t> [IT Security Team/Chief Information Security Officer]</w:t>
      </w:r>
    </w:p>
    <w:p w14:paraId="69FF52F5" w14:textId="77777777" w:rsidR="000E43E4" w:rsidRPr="000E43E4" w:rsidRDefault="000E43E4" w:rsidP="000E43E4">
      <w:r w:rsidRPr="000E43E4">
        <w:pict w14:anchorId="4AE7D088">
          <v:rect id="_x0000_i1103" style="width:0;height:.75pt" o:hralign="center" o:hrstd="t" o:hrnoshade="t" o:hr="t" fillcolor="#404040" stroked="f"/>
        </w:pict>
      </w:r>
    </w:p>
    <w:p w14:paraId="031E6842" w14:textId="77777777" w:rsidR="000E43E4" w:rsidRPr="000E43E4" w:rsidRDefault="000E43E4" w:rsidP="000E43E4">
      <w:r w:rsidRPr="000E43E4">
        <w:rPr>
          <w:b/>
          <w:bCs/>
        </w:rPr>
        <w:t>1. Purpose</w:t>
      </w:r>
    </w:p>
    <w:p w14:paraId="40926AFE" w14:textId="77777777" w:rsidR="000E43E4" w:rsidRPr="000E43E4" w:rsidRDefault="000E43E4" w:rsidP="000E43E4">
      <w:r w:rsidRPr="000E43E4">
        <w:t>This policy establishes guidelines for the secure generation, distribution, storage, rotation, and destruction of cryptographic keys to protect sensitive data and systems. It ensures compliance with regulatory requirements (e.g., GDPR, HIPAA, PCI-DSS) and mitigates risks associated with unauthorized access or misuse of keys.</w:t>
      </w:r>
    </w:p>
    <w:p w14:paraId="4C1F62E6" w14:textId="77777777" w:rsidR="000E43E4" w:rsidRPr="000E43E4" w:rsidRDefault="000E43E4" w:rsidP="000E43E4">
      <w:r w:rsidRPr="000E43E4">
        <w:pict w14:anchorId="3A37E1A6">
          <v:rect id="_x0000_i1104" style="width:0;height:.75pt" o:hralign="center" o:hrstd="t" o:hrnoshade="t" o:hr="t" fillcolor="#404040" stroked="f"/>
        </w:pict>
      </w:r>
    </w:p>
    <w:p w14:paraId="6B21ED1D" w14:textId="77777777" w:rsidR="000E43E4" w:rsidRPr="000E43E4" w:rsidRDefault="000E43E4" w:rsidP="000E43E4">
      <w:r w:rsidRPr="000E43E4">
        <w:rPr>
          <w:b/>
          <w:bCs/>
        </w:rPr>
        <w:t>2. Scope</w:t>
      </w:r>
    </w:p>
    <w:p w14:paraId="0F927064" w14:textId="77777777" w:rsidR="000E43E4" w:rsidRPr="000E43E4" w:rsidRDefault="000E43E4" w:rsidP="000E43E4">
      <w:r w:rsidRPr="000E43E4">
        <w:t>Applies to:</w:t>
      </w:r>
    </w:p>
    <w:p w14:paraId="7FEE73BB" w14:textId="77777777" w:rsidR="000E43E4" w:rsidRPr="000E43E4" w:rsidRDefault="000E43E4" w:rsidP="000E43E4">
      <w:pPr>
        <w:numPr>
          <w:ilvl w:val="0"/>
          <w:numId w:val="1"/>
        </w:numPr>
      </w:pPr>
      <w:r w:rsidRPr="000E43E4">
        <w:t>All employees, contractors, and third parties who generate, manage, or use cryptographic keys.</w:t>
      </w:r>
    </w:p>
    <w:p w14:paraId="79DAD11B" w14:textId="77777777" w:rsidR="000E43E4" w:rsidRPr="000E43E4" w:rsidRDefault="000E43E4" w:rsidP="000E43E4">
      <w:pPr>
        <w:numPr>
          <w:ilvl w:val="0"/>
          <w:numId w:val="1"/>
        </w:numPr>
      </w:pPr>
      <w:r w:rsidRPr="000E43E4">
        <w:t>All cryptographic keys, including symmetric (e.g., AES), asymmetric (e.g., RSA, ECC), API keys, SSH keys, and digital certificates.</w:t>
      </w:r>
    </w:p>
    <w:p w14:paraId="5A94E288" w14:textId="77777777" w:rsidR="000E43E4" w:rsidRPr="000E43E4" w:rsidRDefault="000E43E4" w:rsidP="000E43E4">
      <w:r w:rsidRPr="000E43E4">
        <w:pict w14:anchorId="0CD87AE5">
          <v:rect id="_x0000_i1105" style="width:0;height:.75pt" o:hralign="center" o:hrstd="t" o:hrnoshade="t" o:hr="t" fillcolor="#404040" stroked="f"/>
        </w:pict>
      </w:r>
    </w:p>
    <w:p w14:paraId="1CC360A3" w14:textId="77777777" w:rsidR="000E43E4" w:rsidRPr="000E43E4" w:rsidRDefault="000E43E4" w:rsidP="000E43E4">
      <w:r w:rsidRPr="000E43E4">
        <w:rPr>
          <w:b/>
          <w:bCs/>
        </w:rPr>
        <w:t>3. Key Generation</w:t>
      </w:r>
    </w:p>
    <w:p w14:paraId="0E5F0FE8" w14:textId="77777777" w:rsidR="000E43E4" w:rsidRPr="000E43E4" w:rsidRDefault="000E43E4" w:rsidP="000E43E4">
      <w:pPr>
        <w:numPr>
          <w:ilvl w:val="0"/>
          <w:numId w:val="2"/>
        </w:numPr>
      </w:pPr>
      <w:r w:rsidRPr="000E43E4">
        <w:rPr>
          <w:b/>
          <w:bCs/>
        </w:rPr>
        <w:t>Standards</w:t>
      </w:r>
      <w:r w:rsidRPr="000E43E4">
        <w:t>:</w:t>
      </w:r>
    </w:p>
    <w:p w14:paraId="6FF1DDB8" w14:textId="77777777" w:rsidR="000E43E4" w:rsidRPr="000E43E4" w:rsidRDefault="000E43E4" w:rsidP="000E43E4">
      <w:pPr>
        <w:numPr>
          <w:ilvl w:val="1"/>
          <w:numId w:val="2"/>
        </w:numPr>
      </w:pPr>
      <w:r w:rsidRPr="000E43E4">
        <w:t>Symmetric keys: Minimum 256-bit (e.g., AES-256).</w:t>
      </w:r>
    </w:p>
    <w:p w14:paraId="2CD3BCA7" w14:textId="77777777" w:rsidR="000E43E4" w:rsidRPr="000E43E4" w:rsidRDefault="000E43E4" w:rsidP="000E43E4">
      <w:pPr>
        <w:numPr>
          <w:ilvl w:val="1"/>
          <w:numId w:val="2"/>
        </w:numPr>
      </w:pPr>
      <w:r w:rsidRPr="000E43E4">
        <w:t>Asymmetric keys: RSA-3072 or higher, ECC with 256-bit or higher.</w:t>
      </w:r>
    </w:p>
    <w:p w14:paraId="51F92038" w14:textId="77777777" w:rsidR="000E43E4" w:rsidRPr="000E43E4" w:rsidRDefault="000E43E4" w:rsidP="000E43E4">
      <w:pPr>
        <w:numPr>
          <w:ilvl w:val="1"/>
          <w:numId w:val="2"/>
        </w:numPr>
      </w:pPr>
      <w:r w:rsidRPr="000E43E4">
        <w:t>Use FIPS 140-2/3-validated or ISO-certified tools for generation.</w:t>
      </w:r>
    </w:p>
    <w:p w14:paraId="5D55DE1B" w14:textId="77777777" w:rsidR="000E43E4" w:rsidRPr="000E43E4" w:rsidRDefault="000E43E4" w:rsidP="000E43E4">
      <w:pPr>
        <w:numPr>
          <w:ilvl w:val="0"/>
          <w:numId w:val="2"/>
        </w:numPr>
      </w:pPr>
      <w:r w:rsidRPr="000E43E4">
        <w:rPr>
          <w:b/>
          <w:bCs/>
        </w:rPr>
        <w:t>Randomness</w:t>
      </w:r>
      <w:r w:rsidRPr="000E43E4">
        <w:t>: Secure, approved algorithms (e.g., NIST-approved DRBGs).</w:t>
      </w:r>
    </w:p>
    <w:p w14:paraId="4236A2E0" w14:textId="77777777" w:rsidR="000E43E4" w:rsidRPr="000E43E4" w:rsidRDefault="000E43E4" w:rsidP="000E43E4">
      <w:pPr>
        <w:numPr>
          <w:ilvl w:val="0"/>
          <w:numId w:val="2"/>
        </w:numPr>
      </w:pPr>
      <w:r w:rsidRPr="000E43E4">
        <w:rPr>
          <w:b/>
          <w:bCs/>
        </w:rPr>
        <w:t>Prohibited Actions</w:t>
      </w:r>
      <w:r w:rsidRPr="000E43E4">
        <w:t>:</w:t>
      </w:r>
    </w:p>
    <w:p w14:paraId="451348E3" w14:textId="77777777" w:rsidR="000E43E4" w:rsidRPr="000E43E4" w:rsidRDefault="000E43E4" w:rsidP="000E43E4">
      <w:pPr>
        <w:numPr>
          <w:ilvl w:val="1"/>
          <w:numId w:val="2"/>
        </w:numPr>
      </w:pPr>
      <w:r w:rsidRPr="000E43E4">
        <w:t>Hardcoding keys in source code or configuration files.</w:t>
      </w:r>
    </w:p>
    <w:p w14:paraId="0FDFFA52" w14:textId="77777777" w:rsidR="000E43E4" w:rsidRPr="000E43E4" w:rsidRDefault="000E43E4" w:rsidP="000E43E4">
      <w:pPr>
        <w:numPr>
          <w:ilvl w:val="1"/>
          <w:numId w:val="2"/>
        </w:numPr>
      </w:pPr>
      <w:r w:rsidRPr="000E43E4">
        <w:lastRenderedPageBreak/>
        <w:t>Reusing keys across multiple systems or applications.</w:t>
      </w:r>
    </w:p>
    <w:p w14:paraId="1E92C4B4" w14:textId="77777777" w:rsidR="000E43E4" w:rsidRPr="000E43E4" w:rsidRDefault="000E43E4" w:rsidP="000E43E4">
      <w:r w:rsidRPr="000E43E4">
        <w:pict w14:anchorId="67EF51A5">
          <v:rect id="_x0000_i1106" style="width:0;height:.75pt" o:hralign="center" o:hrstd="t" o:hrnoshade="t" o:hr="t" fillcolor="#404040" stroked="f"/>
        </w:pict>
      </w:r>
    </w:p>
    <w:p w14:paraId="7F90E79B" w14:textId="77777777" w:rsidR="000E43E4" w:rsidRPr="000E43E4" w:rsidRDefault="000E43E4" w:rsidP="000E43E4">
      <w:r w:rsidRPr="000E43E4">
        <w:rPr>
          <w:b/>
          <w:bCs/>
        </w:rPr>
        <w:t>4. Key Storage &amp; Access Control</w:t>
      </w:r>
    </w:p>
    <w:p w14:paraId="75122AAE" w14:textId="77777777" w:rsidR="000E43E4" w:rsidRPr="000E43E4" w:rsidRDefault="000E43E4" w:rsidP="000E43E4">
      <w:pPr>
        <w:numPr>
          <w:ilvl w:val="0"/>
          <w:numId w:val="3"/>
        </w:numPr>
      </w:pPr>
      <w:r w:rsidRPr="000E43E4">
        <w:rPr>
          <w:b/>
          <w:bCs/>
        </w:rPr>
        <w:t>Storage</w:t>
      </w:r>
      <w:r w:rsidRPr="000E43E4">
        <w:t>:</w:t>
      </w:r>
    </w:p>
    <w:p w14:paraId="54FC3B56" w14:textId="77777777" w:rsidR="000E43E4" w:rsidRPr="000E43E4" w:rsidRDefault="000E43E4" w:rsidP="000E43E4">
      <w:pPr>
        <w:numPr>
          <w:ilvl w:val="1"/>
          <w:numId w:val="3"/>
        </w:numPr>
      </w:pPr>
      <w:r w:rsidRPr="000E43E4">
        <w:t>Hardware Security Modules (HSMs) or secure key vaults (e.g., AWS KMS, Azure Key Vault).</w:t>
      </w:r>
    </w:p>
    <w:p w14:paraId="6B7D4242" w14:textId="77777777" w:rsidR="000E43E4" w:rsidRPr="000E43E4" w:rsidRDefault="000E43E4" w:rsidP="000E43E4">
      <w:pPr>
        <w:numPr>
          <w:ilvl w:val="1"/>
          <w:numId w:val="3"/>
        </w:numPr>
      </w:pPr>
      <w:r w:rsidRPr="000E43E4">
        <w:t>Keys must never be stored in plaintext.</w:t>
      </w:r>
    </w:p>
    <w:p w14:paraId="3F63CD05" w14:textId="77777777" w:rsidR="000E43E4" w:rsidRPr="000E43E4" w:rsidRDefault="000E43E4" w:rsidP="000E43E4">
      <w:pPr>
        <w:numPr>
          <w:ilvl w:val="0"/>
          <w:numId w:val="3"/>
        </w:numPr>
      </w:pPr>
      <w:r w:rsidRPr="000E43E4">
        <w:rPr>
          <w:b/>
          <w:bCs/>
        </w:rPr>
        <w:t>Access</w:t>
      </w:r>
      <w:r w:rsidRPr="000E43E4">
        <w:t>:</w:t>
      </w:r>
    </w:p>
    <w:p w14:paraId="72BD1A25" w14:textId="77777777" w:rsidR="000E43E4" w:rsidRPr="000E43E4" w:rsidRDefault="000E43E4" w:rsidP="000E43E4">
      <w:pPr>
        <w:numPr>
          <w:ilvl w:val="1"/>
          <w:numId w:val="3"/>
        </w:numPr>
      </w:pPr>
      <w:r w:rsidRPr="000E43E4">
        <w:t>Least privilege: Access granted only to authorized roles (e.g., system admins, security team).</w:t>
      </w:r>
    </w:p>
    <w:p w14:paraId="5BA0FBC5" w14:textId="77777777" w:rsidR="000E43E4" w:rsidRPr="000E43E4" w:rsidRDefault="000E43E4" w:rsidP="000E43E4">
      <w:pPr>
        <w:numPr>
          <w:ilvl w:val="1"/>
          <w:numId w:val="3"/>
        </w:numPr>
      </w:pPr>
      <w:r w:rsidRPr="000E43E4">
        <w:t>Multi-factor authentication (MFA) required for accessing key management systems.</w:t>
      </w:r>
    </w:p>
    <w:p w14:paraId="49E797FF" w14:textId="77777777" w:rsidR="000E43E4" w:rsidRPr="000E43E4" w:rsidRDefault="000E43E4" w:rsidP="000E43E4">
      <w:pPr>
        <w:numPr>
          <w:ilvl w:val="1"/>
          <w:numId w:val="3"/>
        </w:numPr>
      </w:pPr>
      <w:r w:rsidRPr="000E43E4">
        <w:t>Split knowledge (e.g., Shamir’s Secret Sharing) for master keys.</w:t>
      </w:r>
    </w:p>
    <w:p w14:paraId="54BEECE6" w14:textId="77777777" w:rsidR="000E43E4" w:rsidRPr="000E43E4" w:rsidRDefault="000E43E4" w:rsidP="000E43E4">
      <w:pPr>
        <w:numPr>
          <w:ilvl w:val="0"/>
          <w:numId w:val="3"/>
        </w:numPr>
      </w:pPr>
      <w:r w:rsidRPr="000E43E4">
        <w:rPr>
          <w:b/>
          <w:bCs/>
        </w:rPr>
        <w:t>Logging</w:t>
      </w:r>
      <w:r w:rsidRPr="000E43E4">
        <w:t>: All access attempts and modifications must be audited.</w:t>
      </w:r>
    </w:p>
    <w:p w14:paraId="3B931689" w14:textId="77777777" w:rsidR="000E43E4" w:rsidRPr="000E43E4" w:rsidRDefault="000E43E4" w:rsidP="000E43E4">
      <w:r w:rsidRPr="000E43E4">
        <w:pict w14:anchorId="631C1875">
          <v:rect id="_x0000_i1107" style="width:0;height:.75pt" o:hralign="center" o:hrstd="t" o:hrnoshade="t" o:hr="t" fillcolor="#404040" stroked="f"/>
        </w:pict>
      </w:r>
    </w:p>
    <w:p w14:paraId="14D45D97" w14:textId="77777777" w:rsidR="000E43E4" w:rsidRPr="000E43E4" w:rsidRDefault="000E43E4" w:rsidP="000E43E4">
      <w:r w:rsidRPr="000E43E4">
        <w:rPr>
          <w:b/>
          <w:bCs/>
        </w:rPr>
        <w:t>5. Key Distribution</w:t>
      </w:r>
    </w:p>
    <w:p w14:paraId="321718D6" w14:textId="77777777" w:rsidR="000E43E4" w:rsidRPr="000E43E4" w:rsidRDefault="000E43E4" w:rsidP="000E43E4">
      <w:pPr>
        <w:numPr>
          <w:ilvl w:val="0"/>
          <w:numId w:val="4"/>
        </w:numPr>
      </w:pPr>
      <w:r w:rsidRPr="000E43E4">
        <w:rPr>
          <w:b/>
          <w:bCs/>
        </w:rPr>
        <w:t>Secure Channels</w:t>
      </w:r>
      <w:r w:rsidRPr="000E43E4">
        <w:t>: TLS 1.2+ or equivalent for transmission.</w:t>
      </w:r>
    </w:p>
    <w:p w14:paraId="3B209F50" w14:textId="77777777" w:rsidR="000E43E4" w:rsidRPr="000E43E4" w:rsidRDefault="000E43E4" w:rsidP="000E43E4">
      <w:pPr>
        <w:numPr>
          <w:ilvl w:val="0"/>
          <w:numId w:val="4"/>
        </w:numPr>
      </w:pPr>
      <w:r w:rsidRPr="000E43E4">
        <w:rPr>
          <w:b/>
          <w:bCs/>
        </w:rPr>
        <w:t>Encryption</w:t>
      </w:r>
      <w:r w:rsidRPr="000E43E4">
        <w:t>: Keys in transit must be encrypted with a stronger key than the payload.</w:t>
      </w:r>
    </w:p>
    <w:p w14:paraId="6D8C842B" w14:textId="77777777" w:rsidR="000E43E4" w:rsidRPr="000E43E4" w:rsidRDefault="000E43E4" w:rsidP="000E43E4">
      <w:pPr>
        <w:numPr>
          <w:ilvl w:val="0"/>
          <w:numId w:val="4"/>
        </w:numPr>
      </w:pPr>
      <w:r w:rsidRPr="000E43E4">
        <w:rPr>
          <w:b/>
          <w:bCs/>
        </w:rPr>
        <w:t>Automation</w:t>
      </w:r>
      <w:r w:rsidRPr="000E43E4">
        <w:t>: Prefer automated, audited distribution mechanisms over manual processes.</w:t>
      </w:r>
    </w:p>
    <w:p w14:paraId="42B76A18" w14:textId="77777777" w:rsidR="000E43E4" w:rsidRPr="000E43E4" w:rsidRDefault="000E43E4" w:rsidP="000E43E4">
      <w:r w:rsidRPr="000E43E4">
        <w:pict w14:anchorId="47E32176">
          <v:rect id="_x0000_i1108" style="width:0;height:.75pt" o:hralign="center" o:hrstd="t" o:hrnoshade="t" o:hr="t" fillcolor="#404040" stroked="f"/>
        </w:pict>
      </w:r>
    </w:p>
    <w:p w14:paraId="116DF9F5" w14:textId="77777777" w:rsidR="000E43E4" w:rsidRPr="000E43E4" w:rsidRDefault="000E43E4" w:rsidP="000E43E4">
      <w:r w:rsidRPr="000E43E4">
        <w:rPr>
          <w:b/>
          <w:bCs/>
        </w:rPr>
        <w:t>6. Key Rotation &amp; Expiration</w:t>
      </w:r>
    </w:p>
    <w:p w14:paraId="431ADA4F" w14:textId="77777777" w:rsidR="000E43E4" w:rsidRPr="000E43E4" w:rsidRDefault="000E43E4" w:rsidP="000E43E4">
      <w:pPr>
        <w:numPr>
          <w:ilvl w:val="0"/>
          <w:numId w:val="5"/>
        </w:numPr>
      </w:pPr>
      <w:r w:rsidRPr="000E43E4">
        <w:rPr>
          <w:b/>
          <w:bCs/>
        </w:rPr>
        <w:t>Rotation Intervals</w:t>
      </w:r>
      <w:r w:rsidRPr="000E43E4">
        <w:t>:</w:t>
      </w:r>
    </w:p>
    <w:p w14:paraId="7835EC47" w14:textId="77777777" w:rsidR="000E43E4" w:rsidRPr="000E43E4" w:rsidRDefault="000E43E4" w:rsidP="000E43E4">
      <w:pPr>
        <w:numPr>
          <w:ilvl w:val="1"/>
          <w:numId w:val="5"/>
        </w:numPr>
      </w:pPr>
      <w:r w:rsidRPr="000E43E4">
        <w:t>Asymmetric keys: 12–24 months.</w:t>
      </w:r>
    </w:p>
    <w:p w14:paraId="47B648FE" w14:textId="77777777" w:rsidR="000E43E4" w:rsidRPr="000E43E4" w:rsidRDefault="000E43E4" w:rsidP="000E43E4">
      <w:pPr>
        <w:numPr>
          <w:ilvl w:val="1"/>
          <w:numId w:val="5"/>
        </w:numPr>
      </w:pPr>
      <w:r w:rsidRPr="000E43E4">
        <w:t>Symmetric keys: 90 days (high-risk systems) to 1 year.</w:t>
      </w:r>
    </w:p>
    <w:p w14:paraId="371B1303" w14:textId="77777777" w:rsidR="000E43E4" w:rsidRPr="000E43E4" w:rsidRDefault="000E43E4" w:rsidP="000E43E4">
      <w:pPr>
        <w:numPr>
          <w:ilvl w:val="1"/>
          <w:numId w:val="5"/>
        </w:numPr>
      </w:pPr>
      <w:r w:rsidRPr="000E43E4">
        <w:t>Immediate rotation if compromise is suspected.</w:t>
      </w:r>
    </w:p>
    <w:p w14:paraId="24B532A8" w14:textId="77777777" w:rsidR="000E43E4" w:rsidRPr="000E43E4" w:rsidRDefault="000E43E4" w:rsidP="000E43E4">
      <w:pPr>
        <w:numPr>
          <w:ilvl w:val="0"/>
          <w:numId w:val="5"/>
        </w:numPr>
      </w:pPr>
      <w:r w:rsidRPr="000E43E4">
        <w:rPr>
          <w:b/>
          <w:bCs/>
        </w:rPr>
        <w:lastRenderedPageBreak/>
        <w:t>Expiration</w:t>
      </w:r>
      <w:r w:rsidRPr="000E43E4">
        <w:t>: Keys must have defined expiration dates aligned with data sensitivity. Notify stakeholders 30 days prior to expiration.</w:t>
      </w:r>
    </w:p>
    <w:p w14:paraId="56652555" w14:textId="77777777" w:rsidR="000E43E4" w:rsidRPr="000E43E4" w:rsidRDefault="000E43E4" w:rsidP="000E43E4">
      <w:r w:rsidRPr="000E43E4">
        <w:pict w14:anchorId="6F87875A">
          <v:rect id="_x0000_i1109" style="width:0;height:.75pt" o:hralign="center" o:hrstd="t" o:hrnoshade="t" o:hr="t" fillcolor="#404040" stroked="f"/>
        </w:pict>
      </w:r>
    </w:p>
    <w:p w14:paraId="0156009B" w14:textId="77777777" w:rsidR="000E43E4" w:rsidRPr="000E43E4" w:rsidRDefault="000E43E4" w:rsidP="000E43E4">
      <w:r w:rsidRPr="000E43E4">
        <w:rPr>
          <w:b/>
          <w:bCs/>
        </w:rPr>
        <w:t>7. Key Revocation &amp; Destruction</w:t>
      </w:r>
    </w:p>
    <w:p w14:paraId="5B61DBCD" w14:textId="77777777" w:rsidR="000E43E4" w:rsidRPr="000E43E4" w:rsidRDefault="000E43E4" w:rsidP="000E43E4">
      <w:pPr>
        <w:numPr>
          <w:ilvl w:val="0"/>
          <w:numId w:val="6"/>
        </w:numPr>
      </w:pPr>
      <w:r w:rsidRPr="000E43E4">
        <w:rPr>
          <w:b/>
          <w:bCs/>
        </w:rPr>
        <w:t>Revocation</w:t>
      </w:r>
      <w:r w:rsidRPr="000E43E4">
        <w:t>: Immediately revoke keys if:</w:t>
      </w:r>
    </w:p>
    <w:p w14:paraId="543A28BB" w14:textId="77777777" w:rsidR="000E43E4" w:rsidRPr="000E43E4" w:rsidRDefault="000E43E4" w:rsidP="000E43E4">
      <w:pPr>
        <w:numPr>
          <w:ilvl w:val="1"/>
          <w:numId w:val="6"/>
        </w:numPr>
      </w:pPr>
      <w:r w:rsidRPr="000E43E4">
        <w:t>Compromised or suspected of compromise.</w:t>
      </w:r>
    </w:p>
    <w:p w14:paraId="56396A65" w14:textId="77777777" w:rsidR="000E43E4" w:rsidRPr="000E43E4" w:rsidRDefault="000E43E4" w:rsidP="000E43E4">
      <w:pPr>
        <w:numPr>
          <w:ilvl w:val="1"/>
          <w:numId w:val="6"/>
        </w:numPr>
      </w:pPr>
      <w:r w:rsidRPr="000E43E4">
        <w:t>Personnel with access depart the organization.</w:t>
      </w:r>
    </w:p>
    <w:p w14:paraId="73B38413" w14:textId="77777777" w:rsidR="000E43E4" w:rsidRPr="000E43E4" w:rsidRDefault="000E43E4" w:rsidP="000E43E4">
      <w:pPr>
        <w:numPr>
          <w:ilvl w:val="0"/>
          <w:numId w:val="6"/>
        </w:numPr>
      </w:pPr>
      <w:r w:rsidRPr="000E43E4">
        <w:rPr>
          <w:b/>
          <w:bCs/>
        </w:rPr>
        <w:t>Destruction</w:t>
      </w:r>
      <w:r w:rsidRPr="000E43E4">
        <w:t>:</w:t>
      </w:r>
    </w:p>
    <w:p w14:paraId="48DEAF82" w14:textId="77777777" w:rsidR="000E43E4" w:rsidRPr="000E43E4" w:rsidRDefault="000E43E4" w:rsidP="000E43E4">
      <w:pPr>
        <w:numPr>
          <w:ilvl w:val="1"/>
          <w:numId w:val="6"/>
        </w:numPr>
      </w:pPr>
      <w:r w:rsidRPr="000E43E4">
        <w:t>Use cryptographic erasure or physical destruction (e.g., degaussing).</w:t>
      </w:r>
    </w:p>
    <w:p w14:paraId="21FFE991" w14:textId="77777777" w:rsidR="000E43E4" w:rsidRPr="000E43E4" w:rsidRDefault="000E43E4" w:rsidP="000E43E4">
      <w:pPr>
        <w:numPr>
          <w:ilvl w:val="1"/>
          <w:numId w:val="6"/>
        </w:numPr>
      </w:pPr>
      <w:r w:rsidRPr="000E43E4">
        <w:t>Document destruction with a certificate of disposal.</w:t>
      </w:r>
    </w:p>
    <w:p w14:paraId="71B02342" w14:textId="77777777" w:rsidR="000E43E4" w:rsidRPr="000E43E4" w:rsidRDefault="000E43E4" w:rsidP="000E43E4">
      <w:r w:rsidRPr="000E43E4">
        <w:pict w14:anchorId="3D607F95">
          <v:rect id="_x0000_i1110" style="width:0;height:.75pt" o:hralign="center" o:hrstd="t" o:hrnoshade="t" o:hr="t" fillcolor="#404040" stroked="f"/>
        </w:pict>
      </w:r>
    </w:p>
    <w:p w14:paraId="0D45950A" w14:textId="77777777" w:rsidR="000E43E4" w:rsidRPr="000E43E4" w:rsidRDefault="000E43E4" w:rsidP="000E43E4">
      <w:r w:rsidRPr="000E43E4">
        <w:rPr>
          <w:b/>
          <w:bCs/>
        </w:rPr>
        <w:t>8. Audit &amp; Monitoring</w:t>
      </w:r>
    </w:p>
    <w:p w14:paraId="41735010" w14:textId="77777777" w:rsidR="000E43E4" w:rsidRPr="000E43E4" w:rsidRDefault="000E43E4" w:rsidP="000E43E4">
      <w:pPr>
        <w:numPr>
          <w:ilvl w:val="0"/>
          <w:numId w:val="7"/>
        </w:numPr>
      </w:pPr>
      <w:r w:rsidRPr="000E43E4">
        <w:rPr>
          <w:b/>
          <w:bCs/>
        </w:rPr>
        <w:t>Audits</w:t>
      </w:r>
      <w:r w:rsidRPr="000E43E4">
        <w:t>: Conduct bi-annual reviews of key management practices.</w:t>
      </w:r>
    </w:p>
    <w:p w14:paraId="7FD34ED3" w14:textId="77777777" w:rsidR="000E43E4" w:rsidRPr="000E43E4" w:rsidRDefault="000E43E4" w:rsidP="000E43E4">
      <w:pPr>
        <w:numPr>
          <w:ilvl w:val="0"/>
          <w:numId w:val="7"/>
        </w:numPr>
      </w:pPr>
      <w:r w:rsidRPr="000E43E4">
        <w:rPr>
          <w:b/>
          <w:bCs/>
        </w:rPr>
        <w:t>Monitoring</w:t>
      </w:r>
      <w:r w:rsidRPr="000E43E4">
        <w:t>: Real-time alerts for unauthorized access or usage anomalies.</w:t>
      </w:r>
    </w:p>
    <w:p w14:paraId="6883ECC3" w14:textId="77777777" w:rsidR="000E43E4" w:rsidRPr="000E43E4" w:rsidRDefault="000E43E4" w:rsidP="000E43E4">
      <w:pPr>
        <w:numPr>
          <w:ilvl w:val="0"/>
          <w:numId w:val="7"/>
        </w:numPr>
      </w:pPr>
      <w:r w:rsidRPr="000E43E4">
        <w:rPr>
          <w:b/>
          <w:bCs/>
        </w:rPr>
        <w:t>Log Retention</w:t>
      </w:r>
      <w:r w:rsidRPr="000E43E4">
        <w:t>: Retain access/audit logs for at least 2 years.</w:t>
      </w:r>
    </w:p>
    <w:p w14:paraId="281ED546" w14:textId="77777777" w:rsidR="000E43E4" w:rsidRPr="000E43E4" w:rsidRDefault="000E43E4" w:rsidP="000E43E4">
      <w:r w:rsidRPr="000E43E4">
        <w:pict w14:anchorId="3A0B4295">
          <v:rect id="_x0000_i1111" style="width:0;height:.75pt" o:hralign="center" o:hrstd="t" o:hrnoshade="t" o:hr="t" fillcolor="#404040" stroked="f"/>
        </w:pict>
      </w:r>
    </w:p>
    <w:p w14:paraId="41E8AF81" w14:textId="77777777" w:rsidR="000E43E4" w:rsidRPr="000E43E4" w:rsidRDefault="000E43E4" w:rsidP="000E43E4">
      <w:r w:rsidRPr="000E43E4">
        <w:rPr>
          <w:b/>
          <w:bCs/>
        </w:rPr>
        <w:t>9. Incident Response</w:t>
      </w:r>
    </w:p>
    <w:p w14:paraId="16A1AFDF" w14:textId="77777777" w:rsidR="000E43E4" w:rsidRPr="000E43E4" w:rsidRDefault="000E43E4" w:rsidP="000E43E4">
      <w:pPr>
        <w:numPr>
          <w:ilvl w:val="0"/>
          <w:numId w:val="8"/>
        </w:numPr>
      </w:pPr>
      <w:r w:rsidRPr="000E43E4">
        <w:t>Report suspected key breaches to the Security Team within 1 hour.</w:t>
      </w:r>
    </w:p>
    <w:p w14:paraId="53E4C6D7" w14:textId="77777777" w:rsidR="000E43E4" w:rsidRPr="000E43E4" w:rsidRDefault="000E43E4" w:rsidP="000E43E4">
      <w:pPr>
        <w:numPr>
          <w:ilvl w:val="0"/>
          <w:numId w:val="8"/>
        </w:numPr>
      </w:pPr>
      <w:r w:rsidRPr="000E43E4">
        <w:t>Isolate affected systems and revoke compromised keys immediately.</w:t>
      </w:r>
    </w:p>
    <w:p w14:paraId="0AAD153A" w14:textId="77777777" w:rsidR="000E43E4" w:rsidRPr="000E43E4" w:rsidRDefault="000E43E4" w:rsidP="000E43E4">
      <w:pPr>
        <w:numPr>
          <w:ilvl w:val="0"/>
          <w:numId w:val="8"/>
        </w:numPr>
      </w:pPr>
      <w:r w:rsidRPr="000E43E4">
        <w:t>Post-incident review to update policies and prevent recurrence.</w:t>
      </w:r>
    </w:p>
    <w:p w14:paraId="2D1413DC" w14:textId="77777777" w:rsidR="000E43E4" w:rsidRPr="000E43E4" w:rsidRDefault="000E43E4" w:rsidP="000E43E4">
      <w:r w:rsidRPr="000E43E4">
        <w:pict w14:anchorId="5D062498">
          <v:rect id="_x0000_i1112" style="width:0;height:.75pt" o:hralign="center" o:hrstd="t" o:hrnoshade="t" o:hr="t" fillcolor="#404040" stroked="f"/>
        </w:pict>
      </w:r>
    </w:p>
    <w:p w14:paraId="764AA4D4" w14:textId="77777777" w:rsidR="000E43E4" w:rsidRPr="000E43E4" w:rsidRDefault="000E43E4" w:rsidP="000E43E4">
      <w:r w:rsidRPr="000E43E4">
        <w:rPr>
          <w:b/>
          <w:bCs/>
        </w:rPr>
        <w:t>10. Compliance &amp; Enforcement</w:t>
      </w:r>
    </w:p>
    <w:p w14:paraId="28A244EA" w14:textId="77777777" w:rsidR="000E43E4" w:rsidRPr="000E43E4" w:rsidRDefault="000E43E4" w:rsidP="000E43E4">
      <w:pPr>
        <w:numPr>
          <w:ilvl w:val="0"/>
          <w:numId w:val="9"/>
        </w:numPr>
      </w:pPr>
      <w:r w:rsidRPr="000E43E4">
        <w:rPr>
          <w:b/>
          <w:bCs/>
        </w:rPr>
        <w:t>Training</w:t>
      </w:r>
      <w:r w:rsidRPr="000E43E4">
        <w:t>: Annual training for personnel with key management responsibilities.</w:t>
      </w:r>
    </w:p>
    <w:p w14:paraId="743A8E0F" w14:textId="77777777" w:rsidR="000E43E4" w:rsidRPr="000E43E4" w:rsidRDefault="000E43E4" w:rsidP="000E43E4">
      <w:pPr>
        <w:numPr>
          <w:ilvl w:val="0"/>
          <w:numId w:val="9"/>
        </w:numPr>
      </w:pPr>
      <w:r w:rsidRPr="000E43E4">
        <w:rPr>
          <w:b/>
          <w:bCs/>
        </w:rPr>
        <w:t>Penalties</w:t>
      </w:r>
      <w:r w:rsidRPr="000E43E4">
        <w:t>: Non-compliance may result in disciplinary action, up to termination.</w:t>
      </w:r>
    </w:p>
    <w:p w14:paraId="0568D97A" w14:textId="77777777" w:rsidR="000E43E4" w:rsidRPr="000E43E4" w:rsidRDefault="000E43E4" w:rsidP="000E43E4">
      <w:r w:rsidRPr="000E43E4">
        <w:pict w14:anchorId="4FB6CC96">
          <v:rect id="_x0000_i1113" style="width:0;height:.75pt" o:hralign="center" o:hrstd="t" o:hrnoshade="t" o:hr="t" fillcolor="#404040" stroked="f"/>
        </w:pict>
      </w:r>
    </w:p>
    <w:p w14:paraId="226BD2E5" w14:textId="77777777" w:rsidR="000E43E4" w:rsidRPr="000E43E4" w:rsidRDefault="000E43E4" w:rsidP="000E43E4">
      <w:r w:rsidRPr="000E43E4">
        <w:rPr>
          <w:b/>
          <w:bCs/>
        </w:rPr>
        <w:t>11. Roles &amp; Responsibilities</w:t>
      </w:r>
    </w:p>
    <w:p w14:paraId="1D86702A" w14:textId="77777777" w:rsidR="000E43E4" w:rsidRPr="000E43E4" w:rsidRDefault="000E43E4" w:rsidP="000E43E4">
      <w:pPr>
        <w:numPr>
          <w:ilvl w:val="0"/>
          <w:numId w:val="10"/>
        </w:numPr>
      </w:pPr>
      <w:r w:rsidRPr="000E43E4">
        <w:rPr>
          <w:b/>
          <w:bCs/>
        </w:rPr>
        <w:lastRenderedPageBreak/>
        <w:t>Security Team</w:t>
      </w:r>
      <w:r w:rsidRPr="000E43E4">
        <w:t>: Oversee policy implementation and audits.</w:t>
      </w:r>
    </w:p>
    <w:p w14:paraId="4989ADFC" w14:textId="77777777" w:rsidR="000E43E4" w:rsidRPr="000E43E4" w:rsidRDefault="000E43E4" w:rsidP="000E43E4">
      <w:pPr>
        <w:numPr>
          <w:ilvl w:val="0"/>
          <w:numId w:val="10"/>
        </w:numPr>
      </w:pPr>
      <w:r w:rsidRPr="000E43E4">
        <w:rPr>
          <w:b/>
          <w:bCs/>
        </w:rPr>
        <w:t>IT Operations</w:t>
      </w:r>
      <w:r w:rsidRPr="000E43E4">
        <w:t>: Manage daily key lifecycle operations.</w:t>
      </w:r>
    </w:p>
    <w:p w14:paraId="41E47543" w14:textId="77777777" w:rsidR="000E43E4" w:rsidRPr="000E43E4" w:rsidRDefault="000E43E4" w:rsidP="000E43E4">
      <w:pPr>
        <w:numPr>
          <w:ilvl w:val="0"/>
          <w:numId w:val="10"/>
        </w:numPr>
      </w:pPr>
      <w:r w:rsidRPr="000E43E4">
        <w:rPr>
          <w:b/>
          <w:bCs/>
        </w:rPr>
        <w:t>Data Owners</w:t>
      </w:r>
      <w:r w:rsidRPr="000E43E4">
        <w:t>: Approve key usage for their systems.</w:t>
      </w:r>
    </w:p>
    <w:p w14:paraId="74736793" w14:textId="77777777" w:rsidR="000E43E4" w:rsidRPr="000E43E4" w:rsidRDefault="000E43E4" w:rsidP="000E43E4">
      <w:r w:rsidRPr="000E43E4">
        <w:pict w14:anchorId="32D36984">
          <v:rect id="_x0000_i1114" style="width:0;height:.75pt" o:hralign="center" o:hrstd="t" o:hrnoshade="t" o:hr="t" fillcolor="#404040" stroked="f"/>
        </w:pict>
      </w:r>
    </w:p>
    <w:p w14:paraId="0A59633F" w14:textId="77777777" w:rsidR="000E43E4" w:rsidRPr="000E43E4" w:rsidRDefault="000E43E4" w:rsidP="000E43E4">
      <w:r w:rsidRPr="000E43E4">
        <w:rPr>
          <w:b/>
          <w:bCs/>
        </w:rPr>
        <w:t>12. Policy Review</w:t>
      </w:r>
    </w:p>
    <w:p w14:paraId="224130A5" w14:textId="77777777" w:rsidR="000E43E4" w:rsidRPr="000E43E4" w:rsidRDefault="000E43E4" w:rsidP="000E43E4">
      <w:r w:rsidRPr="000E43E4">
        <w:t>Reviewed annually or after significant security incidents/regulatory changes.</w:t>
      </w:r>
    </w:p>
    <w:p w14:paraId="39F3EBBB" w14:textId="77777777" w:rsidR="000E43E4" w:rsidRPr="000E43E4" w:rsidRDefault="000E43E4" w:rsidP="000E43E4">
      <w:r w:rsidRPr="000E43E4">
        <w:pict w14:anchorId="7383AA51">
          <v:rect id="_x0000_i1115" style="width:0;height:.75pt" o:hralign="center" o:hrstd="t" o:hrnoshade="t" o:hr="t" fillcolor="#404040" stroked="f"/>
        </w:pict>
      </w:r>
    </w:p>
    <w:p w14:paraId="5DA72AD7" w14:textId="77777777" w:rsidR="000E43E4" w:rsidRPr="000E43E4" w:rsidRDefault="000E43E4" w:rsidP="000E43E4">
      <w:r w:rsidRPr="000E43E4">
        <w:rPr>
          <w:b/>
          <w:bCs/>
        </w:rPr>
        <w:t>Approved By:</w:t>
      </w:r>
      <w:r w:rsidRPr="000E43E4">
        <w:t> [CISO/Executive Leadership Name]</w:t>
      </w:r>
      <w:r w:rsidRPr="000E43E4">
        <w:br/>
      </w:r>
      <w:r w:rsidRPr="000E43E4">
        <w:rPr>
          <w:b/>
          <w:bCs/>
        </w:rPr>
        <w:t>Revision History:</w:t>
      </w:r>
      <w:r w:rsidRPr="000E43E4">
        <w:t> [List dates and changes]</w:t>
      </w:r>
    </w:p>
    <w:p w14:paraId="04455AC2" w14:textId="12EDE145" w:rsidR="000E43E4" w:rsidRDefault="000E43E4" w:rsidP="000E43E4"/>
    <w:sectPr w:rsidR="000E4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5E7A"/>
    <w:multiLevelType w:val="multilevel"/>
    <w:tmpl w:val="7B0E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C3E70"/>
    <w:multiLevelType w:val="multilevel"/>
    <w:tmpl w:val="1458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50000"/>
    <w:multiLevelType w:val="multilevel"/>
    <w:tmpl w:val="48D8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69E2"/>
    <w:multiLevelType w:val="multilevel"/>
    <w:tmpl w:val="9C86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E729D"/>
    <w:multiLevelType w:val="multilevel"/>
    <w:tmpl w:val="99F6E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341B3"/>
    <w:multiLevelType w:val="multilevel"/>
    <w:tmpl w:val="5D8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D1C31"/>
    <w:multiLevelType w:val="multilevel"/>
    <w:tmpl w:val="930A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0084D"/>
    <w:multiLevelType w:val="multilevel"/>
    <w:tmpl w:val="23A6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6031D"/>
    <w:multiLevelType w:val="multilevel"/>
    <w:tmpl w:val="6172E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731BF"/>
    <w:multiLevelType w:val="multilevel"/>
    <w:tmpl w:val="5A5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831350">
    <w:abstractNumId w:val="0"/>
  </w:num>
  <w:num w:numId="2" w16cid:durableId="604313866">
    <w:abstractNumId w:val="7"/>
  </w:num>
  <w:num w:numId="3" w16cid:durableId="607082311">
    <w:abstractNumId w:val="4"/>
  </w:num>
  <w:num w:numId="4" w16cid:durableId="964695203">
    <w:abstractNumId w:val="9"/>
  </w:num>
  <w:num w:numId="5" w16cid:durableId="1566834960">
    <w:abstractNumId w:val="3"/>
  </w:num>
  <w:num w:numId="6" w16cid:durableId="831066572">
    <w:abstractNumId w:val="8"/>
  </w:num>
  <w:num w:numId="7" w16cid:durableId="1549415935">
    <w:abstractNumId w:val="6"/>
  </w:num>
  <w:num w:numId="8" w16cid:durableId="1807435281">
    <w:abstractNumId w:val="2"/>
  </w:num>
  <w:num w:numId="9" w16cid:durableId="1124958185">
    <w:abstractNumId w:val="1"/>
  </w:num>
  <w:num w:numId="10" w16cid:durableId="92287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FA"/>
    <w:rsid w:val="000E43E4"/>
    <w:rsid w:val="005609FA"/>
    <w:rsid w:val="00F7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6240"/>
  <w15:chartTrackingRefBased/>
  <w15:docId w15:val="{F8069FFB-EFB5-42A9-A503-22169F03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9FA"/>
    <w:rPr>
      <w:rFonts w:eastAsiaTheme="majorEastAsia" w:cstheme="majorBidi"/>
      <w:color w:val="272727" w:themeColor="text1" w:themeTint="D8"/>
    </w:rPr>
  </w:style>
  <w:style w:type="paragraph" w:styleId="Title">
    <w:name w:val="Title"/>
    <w:basedOn w:val="Normal"/>
    <w:next w:val="Normal"/>
    <w:link w:val="TitleChar"/>
    <w:uiPriority w:val="10"/>
    <w:qFormat/>
    <w:rsid w:val="00560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9FA"/>
    <w:pPr>
      <w:spacing w:before="160"/>
      <w:jc w:val="center"/>
    </w:pPr>
    <w:rPr>
      <w:i/>
      <w:iCs/>
      <w:color w:val="404040" w:themeColor="text1" w:themeTint="BF"/>
    </w:rPr>
  </w:style>
  <w:style w:type="character" w:customStyle="1" w:styleId="QuoteChar">
    <w:name w:val="Quote Char"/>
    <w:basedOn w:val="DefaultParagraphFont"/>
    <w:link w:val="Quote"/>
    <w:uiPriority w:val="29"/>
    <w:rsid w:val="005609FA"/>
    <w:rPr>
      <w:i/>
      <w:iCs/>
      <w:color w:val="404040" w:themeColor="text1" w:themeTint="BF"/>
    </w:rPr>
  </w:style>
  <w:style w:type="paragraph" w:styleId="ListParagraph">
    <w:name w:val="List Paragraph"/>
    <w:basedOn w:val="Normal"/>
    <w:uiPriority w:val="34"/>
    <w:qFormat/>
    <w:rsid w:val="005609FA"/>
    <w:pPr>
      <w:ind w:left="720"/>
      <w:contextualSpacing/>
    </w:pPr>
  </w:style>
  <w:style w:type="character" w:styleId="IntenseEmphasis">
    <w:name w:val="Intense Emphasis"/>
    <w:basedOn w:val="DefaultParagraphFont"/>
    <w:uiPriority w:val="21"/>
    <w:qFormat/>
    <w:rsid w:val="005609FA"/>
    <w:rPr>
      <w:i/>
      <w:iCs/>
      <w:color w:val="0F4761" w:themeColor="accent1" w:themeShade="BF"/>
    </w:rPr>
  </w:style>
  <w:style w:type="paragraph" w:styleId="IntenseQuote">
    <w:name w:val="Intense Quote"/>
    <w:basedOn w:val="Normal"/>
    <w:next w:val="Normal"/>
    <w:link w:val="IntenseQuoteChar"/>
    <w:uiPriority w:val="30"/>
    <w:qFormat/>
    <w:rsid w:val="00560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9FA"/>
    <w:rPr>
      <w:i/>
      <w:iCs/>
      <w:color w:val="0F4761" w:themeColor="accent1" w:themeShade="BF"/>
    </w:rPr>
  </w:style>
  <w:style w:type="character" w:styleId="IntenseReference">
    <w:name w:val="Intense Reference"/>
    <w:basedOn w:val="DefaultParagraphFont"/>
    <w:uiPriority w:val="32"/>
    <w:qFormat/>
    <w:rsid w:val="005609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382004">
      <w:bodyDiv w:val="1"/>
      <w:marLeft w:val="0"/>
      <w:marRight w:val="0"/>
      <w:marTop w:val="0"/>
      <w:marBottom w:val="0"/>
      <w:divBdr>
        <w:top w:val="none" w:sz="0" w:space="0" w:color="auto"/>
        <w:left w:val="none" w:sz="0" w:space="0" w:color="auto"/>
        <w:bottom w:val="none" w:sz="0" w:space="0" w:color="auto"/>
        <w:right w:val="none" w:sz="0" w:space="0" w:color="auto"/>
      </w:divBdr>
    </w:div>
    <w:div w:id="214095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 Tareq</cp:lastModifiedBy>
  <cp:revision>2</cp:revision>
  <dcterms:created xsi:type="dcterms:W3CDTF">2025-05-30T01:24:00Z</dcterms:created>
  <dcterms:modified xsi:type="dcterms:W3CDTF">2025-05-30T01:25:00Z</dcterms:modified>
</cp:coreProperties>
</file>