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Operations — Escalation SOP (rev 3)</w:t>
      </w:r>
    </w:p>
    <w:p>
      <w:r>
        <w:t>This standard operating procedure governs how the weekly focus review turns findings into actions.</w:t>
      </w:r>
    </w:p>
    <w:p>
      <w:pPr>
        <w:pStyle w:val="Heading2"/>
      </w:pPr>
      <w:r>
        <w:t>Principles</w:t>
      </w:r>
    </w:p>
    <w:p>
      <w:r>
        <w:t>Every recommended action must cite the playbook rule it follows. Actions that notify another team or change a commitment (supply escalations, replenishment orders, distributor calls) require a manager's approval before they are carried out; analysis and review actions do not.</w:t>
      </w:r>
    </w:p>
    <w:p>
      <w:pPr>
        <w:pStyle w:val="Heading2"/>
      </w:pPr>
      <w:r>
        <w:t>When a cause is not clear</w:t>
      </w:r>
    </w:p>
    <w:p>
      <w:r>
        <w:t>Where a brand misses target and there is no stock-out and no promotion to explain it, do not attribute a cause from the numbers alone. Commission a market check, or if nothing explains it, flag it for manual review — never invent a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