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 Region — Market Visit Note (February 2026)</w:t>
      </w:r>
    </w:p>
    <w:p>
      <w:r>
        <w:t>Prepared by: Regional Sales Manager, North. Circulated to sales operations.</w:t>
      </w:r>
    </w:p>
    <w:p>
      <w:pPr>
        <w:pStyle w:val="Heading2"/>
      </w:pPr>
      <w:r>
        <w:t>Trade feedback</w:t>
      </w:r>
    </w:p>
    <w:p>
      <w:r>
        <w:t>Across Jaipur and Lucknow, retailers reported that a competitor ran an unusually deep price-off campaign on mid-pack biscuits through most of February. Several stockists shifted shelf space and billing toward the competitor for the month.</w:t>
      </w:r>
    </w:p>
    <w:p>
      <w:pPr>
        <w:pStyle w:val="Heading2"/>
      </w:pPr>
      <w:r>
        <w:t>Impact</w:t>
      </w:r>
    </w:p>
    <w:p>
      <w:r>
        <w:t>Our CremeDelight range in the North lost roughly a quarter of its expected February offtake as a direct result of that competitor activity. There was no supply issue on our side and we were not running a counter-promotion, so the miss does not show up as a stock-out or a scheme in the numbers — it is entirely down to the competitor's February push.</w:t>
      </w:r>
    </w:p>
    <w:p>
      <w:pPr>
        <w:pStyle w:val="Heading2"/>
      </w:pPr>
      <w:r>
        <w:t>Recommendation from the field</w:t>
      </w:r>
    </w:p>
    <w:p>
      <w:r>
        <w:t>Consider a targeted counter-promotion or trade incentive for CremeDelight in the North next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