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E7FAB"/>
          <w:sz w:val="22"/>
          <w:szCs w:val="22"/>
        </w:rPr>
        <w:t xml:space="preserve">SESSION 20 · TRANSCRIPT (CODING)</w:t>
      </w:r>
    </w:p>
    <w:p>
      <w:pPr>
        <w:spacing w:after="60"/>
      </w:pPr>
      <w:r>
        <w:rPr>
          <w:rFonts w:ascii="Arial" w:cs="Arial" w:eastAsia="Arial" w:hAnsi="Arial"/>
          <w:b/>
          <w:bCs/>
          <w:color w:val="0F2440"/>
          <w:sz w:val="44"/>
          <w:szCs w:val="44"/>
        </w:rPr>
        <w:t xml:space="preserve">Text Representation</w:t>
      </w:r>
    </w:p>
    <w:p>
      <w:pPr>
        <w:spacing w:after="60"/>
      </w:pPr>
      <w:r>
        <w:rPr>
          <w:color w:val="64748B"/>
          <w:sz w:val="26"/>
          <w:szCs w:val="26"/>
        </w:rPr>
        <w:t xml:space="preserve">Notebook Walkthrough Teaching Transcript</w:t>
      </w:r>
    </w:p>
    <w:p>
      <w:pPr>
        <w:pBdr>
          <w:bottom w:val="single" w:color="0E7FAB" w:sz="12" w:space="4"/>
        </w:pBdr>
        <w:spacing w:after="220"/>
      </w:pPr>
      <w:r>
        <w:t xml:space="preserve"/>
      </w:r>
    </w:p>
    <w:p>
      <w:pPr>
        <w:spacing w:after="140" w:line="288"/>
      </w:pPr>
      <w:r>
        <w:rPr>
          <w:i/>
          <w:iCs/>
          <w:color w:val="64748B"/>
        </w:rPr>
        <w:t xml:space="preserve">How to use this script: this is the spoken narration for the Session 20 hands-on notebook — the coding half, roughly 30 to 35 minutes. Run each cell live while you talk. The bold Cue lines are directions for you; the bordered monospace lines are what should be on screen or what you'd type. Encourage the client to run each cell themselves a beat after you do.</w:t>
      </w:r>
    </w:p>
    <w:p>
      <w:pPr>
        <w:pBdr>
          <w:bottom w:val="single" w:color="D5DEEA" w:sz="6" w:space="1"/>
        </w:pBdr>
        <w:spacing w:after="160"/>
      </w:pPr>
      <w:r>
        <w:t xml:space="preserve"/>
      </w:r>
    </w:p>
    <w:p>
      <w:pPr>
        <w:pStyle w:val="Heading1"/>
      </w:pPr>
      <w:r>
        <w:t xml:space="preserve">Opening — Orienting the notebook</w:t>
      </w:r>
    </w:p>
    <w:p>
      <w:pPr>
        <w:spacing w:after="140" w:line="288"/>
      </w:pPr>
      <w:r>
        <w:t xml:space="preserve">This notebook picks up precisely where the slides left off. We have clean text; we want numbers. We'll build one-hot encoding, then Bag of Words, then TF-IDF, then see TF-IDF do something genuinely useful, and finally watch all three hit their shared blind spot. Everything runs top to bottom with no errors, so if a cell breaks, it's almost always because an earlier cell wasn't run.</w:t>
      </w:r>
    </w:p>
    <w:p>
      <w:pPr>
        <w:spacing w:after="120" w:line="264"/>
        <w:ind w:left="360"/>
      </w:pPr>
      <w:r>
        <w:rPr>
          <w:b/>
          <w:bCs/>
          <w:i/>
          <w:iCs/>
          <w:color w:val="0E7FAB"/>
          <w:sz w:val="19"/>
          <w:szCs w:val="19"/>
        </w:rPr>
        <w:t xml:space="preserve">Cue  </w:t>
      </w:r>
      <w:r>
        <w:rPr>
          <w:i/>
          <w:iCs/>
          <w:color w:val="64748B"/>
          <w:sz w:val="21"/>
          <w:szCs w:val="21"/>
        </w:rPr>
        <w:t xml:space="preserve">Scroll through the whole notebook once, top to bottom, so they see the shape before you dive in.</w:t>
      </w:r>
    </w:p>
    <w:p>
      <w:pPr>
        <w:pStyle w:val="Heading1"/>
      </w:pPr>
      <w:r>
        <w:t xml:space="preserve">Section 0 — Setup</w:t>
      </w:r>
    </w:p>
    <w:p>
      <w:pPr>
        <w:spacing w:after="140" w:line="288"/>
      </w:pPr>
      <w:r>
        <w:t xml:space="preserve">First cell is just imports. We need scikit-learn for the vectorizers, plus pandas and numpy to display the results as nice tables. If anyone's missing scikit-learn, uncomment the install line at the top. Run it — when you see “Ready,” you're good.</w:t>
      </w:r>
    </w:p>
    <w:p>
      <w:pPr>
        <w:pBdr>
          <w:left w:val="single" w:color="0E7FAB" w:sz="18" w:space="8"/>
        </w:pBdr>
        <w:spacing w:after="140" w:line="264"/>
        <w:ind w:left="360"/>
      </w:pPr>
      <w:r>
        <w:rPr>
          <w:rFonts w:ascii="Consolas" w:cs="Consolas" w:eastAsia="Consolas" w:hAnsi="Consolas"/>
          <w:color w:val="0F2440"/>
          <w:sz w:val="20"/>
          <w:szCs w:val="20"/>
        </w:rPr>
        <w:t xml:space="preserve">from sklearn.feature_extraction.text import CountVectorizer, TfidfVectorizer</w:t>
      </w:r>
    </w:p>
    <w:p>
      <w:pPr>
        <w:spacing w:after="120" w:line="264"/>
        <w:ind w:left="360"/>
      </w:pPr>
      <w:r>
        <w:rPr>
          <w:b/>
          <w:bCs/>
          <w:i/>
          <w:iCs/>
          <w:color w:val="0E7FAB"/>
          <w:sz w:val="19"/>
          <w:szCs w:val="19"/>
        </w:rPr>
        <w:t xml:space="preserve">Cue  </w:t>
      </w:r>
      <w:r>
        <w:rPr>
          <w:i/>
          <w:iCs/>
          <w:color w:val="64748B"/>
          <w:sz w:val="21"/>
          <w:szCs w:val="21"/>
        </w:rPr>
        <w:t xml:space="preserve">Wait until everyone's first cell prints “Ready” before moving on. This catches install problems early.</w:t>
      </w:r>
    </w:p>
    <w:p>
      <w:pPr>
        <w:pStyle w:val="Heading1"/>
      </w:pPr>
      <w:r>
        <w:t xml:space="preserve">Section 1 — The core problem</w:t>
      </w:r>
    </w:p>
    <w:p>
      <w:pPr>
        <w:spacing w:after="140" w:line="288"/>
      </w:pPr>
      <w:r>
        <w:t xml:space="preserve">Before we fix the problem, let's feel it. This cell tries to multiply the word “cat” by a number. Run it — and we get a TypeError. That's Python telling us, very bluntly, that you cannot do math on text. That error is the entire reason this session exists.</w:t>
      </w:r>
    </w:p>
    <w:p>
      <w:pPr>
        <w:spacing w:after="140" w:line="288"/>
      </w:pPr>
      <w:r>
        <w:t xml:space="preserve">Then we define our corpus — that's just the technical word for a collection of documents. Three tiny sentences: “the cat sat,” “the dog ran,” “cat and dog.” I'm keeping it deliberately small so we can read every single number by eye instead of trusting the computer.</w:t>
      </w:r>
    </w:p>
    <w:p>
      <w:pPr>
        <w:pBdr>
          <w:left w:val="single" w:color="0E7FAB" w:sz="18" w:space="8"/>
        </w:pBdr>
        <w:spacing w:after="140" w:line="264"/>
        <w:ind w:left="360"/>
      </w:pPr>
      <w:r>
        <w:rPr>
          <w:rFonts w:ascii="Consolas" w:cs="Consolas" w:eastAsia="Consolas" w:hAnsi="Consolas"/>
          <w:color w:val="0F2440"/>
          <w:sz w:val="20"/>
          <w:szCs w:val="20"/>
        </w:rPr>
        <w:t xml:space="preserve">corpus = ["the cat sat", "the dog ran", "cat and dog"]</w:t>
      </w:r>
    </w:p>
    <w:p>
      <w:pPr>
        <w:spacing w:after="120" w:line="264"/>
        <w:ind w:left="360"/>
      </w:pPr>
      <w:r>
        <w:rPr>
          <w:b/>
          <w:bCs/>
          <w:i/>
          <w:iCs/>
          <w:color w:val="0E7FAB"/>
          <w:sz w:val="19"/>
          <w:szCs w:val="19"/>
        </w:rPr>
        <w:t xml:space="preserve">Cue  </w:t>
      </w:r>
      <w:r>
        <w:rPr>
          <w:i/>
          <w:iCs/>
          <w:color w:val="64748B"/>
          <w:sz w:val="21"/>
          <w:szCs w:val="21"/>
        </w:rPr>
        <w:t xml:space="preserve">Make a point of the error being expected — “we want to see this fail.”</w:t>
      </w:r>
    </w:p>
    <w:p>
      <w:pPr>
        <w:pStyle w:val="Heading1"/>
      </w:pPr>
      <w:r>
        <w:t xml:space="preserve">Section 2 — One-Hot Encoding, by hand then with sklearn</w:t>
      </w:r>
    </w:p>
    <w:p>
      <w:pPr>
        <w:spacing w:after="140" w:line="288"/>
      </w:pPr>
      <w:r>
        <w:t xml:space="preserve">We'll do one-hot the manual way first, because the mechanic is so simple it's worth seeing in raw Python. We build the vocabulary — every unique word, sorted so the order is stable. Then we map each word to a position. The one_hot function makes an array of all zeros and flips exactly one slot to a one. Run it and look: “cat,” “dog,” and “the” each come out as a vector with a single one in a different spot.</w:t>
      </w:r>
    </w:p>
    <w:p>
      <w:pPr>
        <w:spacing w:after="140" w:line="288"/>
      </w:pPr>
      <w:r>
        <w:t xml:space="preserve">Now connect it back to the slide: every word is the same distance from every other. There's no sense in which “cat” is nearer “dog” than “the.”</w:t>
      </w:r>
    </w:p>
    <w:p>
      <w:pPr>
        <w:spacing w:after="140" w:line="288"/>
      </w:pPr>
      <w:r>
        <w:t xml:space="preserve">Then we show the scikit-learn version at the document level — CountVectorizer with binary set to True. A slot is one if the word is present in the document, regardless of count. We display it as a pandas DataFrame so you can see documents as rows and words as columns.</w:t>
      </w:r>
    </w:p>
    <w:p>
      <w:pPr>
        <w:pBdr>
          <w:left w:val="single" w:color="0E7FAB" w:sz="18" w:space="8"/>
        </w:pBdr>
        <w:spacing w:after="140" w:line="264"/>
        <w:ind w:left="360"/>
      </w:pPr>
      <w:r>
        <w:rPr>
          <w:rFonts w:ascii="Consolas" w:cs="Consolas" w:eastAsia="Consolas" w:hAnsi="Consolas"/>
          <w:color w:val="0F2440"/>
          <w:sz w:val="20"/>
          <w:szCs w:val="20"/>
        </w:rPr>
        <w:t xml:space="preserve">onehot_vec = CountVectorizer(binary=True)</w:t>
      </w:r>
    </w:p>
    <w:p>
      <w:pPr>
        <w:spacing w:after="120" w:line="264"/>
        <w:ind w:left="360"/>
      </w:pPr>
      <w:r>
        <w:rPr>
          <w:b/>
          <w:bCs/>
          <w:i/>
          <w:iCs/>
          <w:color w:val="0E7FAB"/>
          <w:sz w:val="19"/>
          <w:szCs w:val="19"/>
        </w:rPr>
        <w:t xml:space="preserve">Cue  </w:t>
      </w:r>
      <w:r>
        <w:rPr>
          <w:i/>
          <w:iCs/>
          <w:color w:val="64748B"/>
          <w:sz w:val="21"/>
          <w:szCs w:val="21"/>
        </w:rPr>
        <w:t xml:space="preserve">Have them predict the one_hot output for a word before you run it. Quick win, builds confidence.</w:t>
      </w:r>
    </w:p>
    <w:p>
      <w:pPr>
        <w:pStyle w:val="Heading1"/>
      </w:pPr>
      <w:r>
        <w:t xml:space="preserve">Section 3 — Bag of Words</w:t>
      </w:r>
    </w:p>
    <w:p>
      <w:pPr>
        <w:spacing w:after="140" w:line="288"/>
      </w:pPr>
      <w:r>
        <w:t xml:space="preserve">Now Bag of Words. This is CountVectorizer with its default settings — counts, not just presence. We fit it on the corpus, then look at two things: the vocabulary it learned, and the shape of the matrix, which is documents by words. Then we display the full document-term matrix as a table — this is the exact table from the slides, now generated for real.</w:t>
      </w:r>
    </w:p>
    <w:p>
      <w:pPr>
        <w:spacing w:after="140" w:line="288"/>
      </w:pPr>
      <w:r>
        <w:t xml:space="preserve">The next cell is the fun one. We feed in “the cat sat on the mat” and watch “the” come back with a count of two. Notice also that “on” and “mat” get silently dropped — they weren't in our tiny training vocabulary, so they're out-of-vocabulary. That's the OOV problem appearing in real code, not just on a slide.</w:t>
      </w:r>
    </w:p>
    <w:p>
      <w:pPr>
        <w:pBdr>
          <w:left w:val="single" w:color="0E7FAB" w:sz="18" w:space="8"/>
        </w:pBdr>
        <w:spacing w:after="140" w:line="264"/>
        <w:ind w:left="360"/>
      </w:pPr>
      <w:r>
        <w:rPr>
          <w:rFonts w:ascii="Consolas" w:cs="Consolas" w:eastAsia="Consolas" w:hAnsi="Consolas"/>
          <w:color w:val="0F2440"/>
          <w:sz w:val="20"/>
          <w:szCs w:val="20"/>
        </w:rPr>
        <w:t xml:space="preserve">bow_vec = CountVectorizer();  bow_matrix = bow_vec.fit_transform(corpus)</w:t>
      </w:r>
    </w:p>
    <w:p>
      <w:pPr>
        <w:spacing w:after="120" w:line="264"/>
        <w:ind w:left="360"/>
      </w:pPr>
      <w:r>
        <w:rPr>
          <w:b/>
          <w:bCs/>
          <w:i/>
          <w:iCs/>
          <w:color w:val="0E7FAB"/>
          <w:sz w:val="19"/>
          <w:szCs w:val="19"/>
        </w:rPr>
        <w:t xml:space="preserve">Cue  </w:t>
      </w:r>
      <w:r>
        <w:rPr>
          <w:i/>
          <w:iCs/>
          <w:color w:val="64748B"/>
          <w:sz w:val="21"/>
          <w:szCs w:val="21"/>
        </w:rPr>
        <w:t xml:space="preserve">Point at the count of 2 for “the.” Then ask: “Is ‘the’ really the most important word here?” Let them answer no — that motivates TF-IDF.</w:t>
      </w:r>
    </w:p>
    <w:p>
      <w:pPr>
        <w:pStyle w:val="Heading1"/>
      </w:pPr>
      <w:r>
        <w:t xml:space="preserve">Section 4 — TF-IDF</w:t>
      </w:r>
    </w:p>
    <w:p>
      <w:pPr>
        <w:spacing w:after="140" w:line="288"/>
      </w:pPr>
      <w:r>
        <w:t xml:space="preserve">Here's the payoff. TfidfVectorizer has the same interface as CountVectorizer — fit_transform on the corpus — but now the cells hold weighted scores instead of counts. Display the table and compare it mentally to the Bag of Words one.</w:t>
      </w:r>
    </w:p>
    <w:p>
      <w:pPr>
        <w:spacing w:after="140" w:line="288"/>
      </w:pPr>
      <w:r>
        <w:t xml:space="preserve">Then we print the IDF values scikit-learn actually computed, sorted from low to high. Low IDF means common means uninformative. You'll see “the,” which is in two of our three documents, sitting at the bottom with the smallest weight, while words that appear in just one document — “and,” “ran,” “sat” — sit at the top. That's IDF doing precisely what the formula slide promised.</w:t>
      </w:r>
    </w:p>
    <w:p>
      <w:pPr>
        <w:spacing w:after="140" w:line="288"/>
      </w:pPr>
      <w:r>
        <w:t xml:space="preserve">Finally we stack Bag of Words and TF-IDF side by side in one table, same columns, so the difference is undeniable: the common word shrinks, the distinctive words grow.</w:t>
      </w:r>
    </w:p>
    <w:p>
      <w:pPr>
        <w:pBdr>
          <w:left w:val="single" w:color="0E7FAB" w:sz="18" w:space="8"/>
        </w:pBdr>
        <w:spacing w:after="140" w:line="264"/>
        <w:ind w:left="360"/>
      </w:pPr>
      <w:r>
        <w:rPr>
          <w:rFonts w:ascii="Consolas" w:cs="Consolas" w:eastAsia="Consolas" w:hAnsi="Consolas"/>
          <w:color w:val="0F2440"/>
          <w:sz w:val="20"/>
          <w:szCs w:val="20"/>
        </w:rPr>
        <w:t xml:space="preserve">idf = pd.Series(tfidf_vec.idf_, index=tfidf_vec.get_feature_names_out())</w:t>
      </w:r>
    </w:p>
    <w:p>
      <w:pPr>
        <w:spacing w:after="120" w:line="264"/>
        <w:ind w:left="360"/>
      </w:pPr>
      <w:r>
        <w:rPr>
          <w:b/>
          <w:bCs/>
          <w:i/>
          <w:iCs/>
          <w:color w:val="0E7FAB"/>
          <w:sz w:val="19"/>
          <w:szCs w:val="19"/>
        </w:rPr>
        <w:t xml:space="preserve">Cue  </w:t>
      </w:r>
      <w:r>
        <w:rPr>
          <w:i/>
          <w:iCs/>
          <w:color w:val="64748B"/>
          <w:sz w:val="21"/>
          <w:szCs w:val="21"/>
        </w:rPr>
        <w:t xml:space="preserve">This is the intellectual centre of the session. Slow down. Read the IDF ranking aloud and tie each line back to ‘how many documents is this word in?’</w:t>
      </w:r>
    </w:p>
    <w:p>
      <w:pPr>
        <w:pStyle w:val="Heading1"/>
      </w:pPr>
      <w:r>
        <w:t xml:space="preserve">Section 5 — Why it matters: document similarity</w:t>
      </w:r>
    </w:p>
    <w:p>
      <w:pPr>
        <w:spacing w:after="140" w:line="288"/>
      </w:pPr>
      <w:r>
        <w:t xml:space="preserve">Let's prove TF-IDF earns its keep. A classic use is measuring how similar two documents are — the engine behind search. We take three sentences: two are about a cat on a mat but worded differently, and the third is about the stock market. We turn them into TF-IDF vectors and compute cosine similarity, which scores one for identical direction and zero for nothing in common.</w:t>
      </w:r>
    </w:p>
    <w:p>
      <w:pPr>
        <w:spacing w:after="140" w:line="288"/>
      </w:pPr>
      <w:r>
        <w:t xml:space="preserve">Read the similarity table. The two cat sentences score about 0.54 with each other, but each scores zero against the stock-market sentence — even though the two cat sentences barely share any identical words beyond “cat” and “mat.” That's TF-IDF capturing topic, and it's a real, useful result.</w:t>
      </w:r>
    </w:p>
    <w:p>
      <w:pPr>
        <w:pBdr>
          <w:left w:val="single" w:color="0E7FAB" w:sz="18" w:space="8"/>
        </w:pBdr>
        <w:spacing w:after="140" w:line="264"/>
        <w:ind w:left="360"/>
      </w:pPr>
      <w:r>
        <w:rPr>
          <w:rFonts w:ascii="Consolas" w:cs="Consolas" w:eastAsia="Consolas" w:hAnsi="Consolas"/>
          <w:color w:val="0F2440"/>
          <w:sz w:val="20"/>
          <w:szCs w:val="20"/>
        </w:rPr>
        <w:t xml:space="preserve">from sklearn.metrics.pairwise import cosine_similarity</w:t>
      </w:r>
    </w:p>
    <w:p>
      <w:pPr>
        <w:spacing w:after="120" w:line="264"/>
        <w:ind w:left="360"/>
      </w:pPr>
      <w:r>
        <w:rPr>
          <w:b/>
          <w:bCs/>
          <w:i/>
          <w:iCs/>
          <w:color w:val="0E7FAB"/>
          <w:sz w:val="19"/>
          <w:szCs w:val="19"/>
        </w:rPr>
        <w:t xml:space="preserve">Cue  </w:t>
      </w:r>
      <w:r>
        <w:rPr>
          <w:i/>
          <w:iCs/>
          <w:color w:val="64748B"/>
          <w:sz w:val="21"/>
          <w:szCs w:val="21"/>
        </w:rPr>
        <w:t xml:space="preserve">This is the ‘so what’ moment. Land it: “this is how a search engine knows two pages are about the same thing.”</w:t>
      </w:r>
    </w:p>
    <w:p>
      <w:pPr>
        <w:pStyle w:val="Heading1"/>
      </w:pPr>
      <w:r>
        <w:t xml:space="preserve">Section 6 — The shared blind spot</w:t>
      </w:r>
    </w:p>
    <w:p>
      <w:pPr>
        <w:spacing w:after="140" w:line="288"/>
      </w:pPr>
      <w:r>
        <w:t xml:space="preserve">Now the honest limitation. We take “dog bites man” and “man bites dog,” vectorize both, and print their vectors. They're identical — same words, same counts — yet the meanings are opposite. Word order was thrown away the moment we put the words in the bag. No method we've built today can tell these two sentences apart.</w:t>
      </w:r>
    </w:p>
    <w:p>
      <w:pPr>
        <w:spacing w:after="140" w:line="288"/>
      </w:pPr>
      <w:r>
        <w:t xml:space="preserve">So all three representations are powerful but blind to meaning and order. The fix is the next topic: word embeddings — dense vectors learned from data where similar words sit close together, and where order can finally be modelled.</w:t>
      </w:r>
    </w:p>
    <w:p>
      <w:pPr>
        <w:pBdr>
          <w:left w:val="single" w:color="0E7FAB" w:sz="18" w:space="8"/>
        </w:pBdr>
        <w:spacing w:after="140" w:line="264"/>
        <w:ind w:left="360"/>
      </w:pPr>
      <w:r>
        <w:rPr>
          <w:rFonts w:ascii="Consolas" w:cs="Consolas" w:eastAsia="Consolas" w:hAnsi="Consolas"/>
          <w:color w:val="0F2440"/>
          <w:sz w:val="20"/>
          <w:szCs w:val="20"/>
        </w:rPr>
        <w:t xml:space="preserve">pair = ["dog bites man", "man bites dog"]</w:t>
      </w:r>
    </w:p>
    <w:p>
      <w:pPr>
        <w:spacing w:after="120" w:line="264"/>
        <w:ind w:left="360"/>
      </w:pPr>
      <w:r>
        <w:rPr>
          <w:b/>
          <w:bCs/>
          <w:i/>
          <w:iCs/>
          <w:color w:val="0E7FAB"/>
          <w:sz w:val="19"/>
          <w:szCs w:val="19"/>
        </w:rPr>
        <w:t xml:space="preserve">Cue  </w:t>
      </w:r>
      <w:r>
        <w:rPr>
          <w:i/>
          <w:iCs/>
          <w:color w:val="64748B"/>
          <w:sz w:val="21"/>
          <w:szCs w:val="21"/>
        </w:rPr>
        <w:t xml:space="preserve">End the teaching portion here. Pause before the exercises.</w:t>
      </w:r>
    </w:p>
    <w:p>
      <w:pPr>
        <w:pStyle w:val="Heading1"/>
      </w:pPr>
      <w:r>
        <w:t xml:space="preserve">Section 7 — Your turn (exercises)</w:t>
      </w:r>
    </w:p>
    <w:p>
      <w:pPr>
        <w:spacing w:after="140" w:line="288"/>
      </w:pPr>
      <w:r>
        <w:t xml:space="preserve">Three short experiments to lock it in. One: add a new document to the corpus and re-run — watch how the IDF of “the” changes as it appears in more documents. Two: turn on bigrams with ngram_range set to one comma two, and check whether “dog bites man” now differs from “man bites dog” — and ask yourself why. Three: drop in a few sentences of your own and find the two most similar using the cosine-similarity code from Section 5.</w:t>
      </w:r>
    </w:p>
    <w:p>
      <w:pPr>
        <w:spacing w:after="140" w:line="288"/>
      </w:pPr>
      <w:r>
        <w:t xml:space="preserve">There's a scratch cell right below for experimenting. If we have time, we'll do exercise two together, because bigrams are the first hint at how we start clawing back word order.</w:t>
      </w:r>
    </w:p>
    <w:p>
      <w:pPr>
        <w:spacing w:after="120" w:line="264"/>
        <w:ind w:left="360"/>
      </w:pPr>
      <w:r>
        <w:rPr>
          <w:b/>
          <w:bCs/>
          <w:i/>
          <w:iCs/>
          <w:color w:val="0E7FAB"/>
          <w:sz w:val="19"/>
          <w:szCs w:val="19"/>
        </w:rPr>
        <w:t xml:space="preserve">Cue  </w:t>
      </w:r>
      <w:r>
        <w:rPr>
          <w:i/>
          <w:iCs/>
          <w:color w:val="64748B"/>
          <w:sz w:val="21"/>
          <w:szCs w:val="21"/>
        </w:rPr>
        <w:t xml:space="preserve">If short on time, assign these as homework and just demo exercise 2 live. Then wrap with the recap table at the bottom of the notebook.</w:t>
      </w:r>
    </w:p>
    <w:p>
      <w:pPr>
        <w:pStyle w:val="Heading1"/>
      </w:pPr>
      <w:r>
        <w:t xml:space="preserve">Closing</w:t>
      </w:r>
    </w:p>
    <w:p>
      <w:pPr>
        <w:spacing w:after="140" w:line="288"/>
      </w:pPr>
      <w:r>
        <w:t xml:space="preserve">That's Session 20. You can now take any clean text and turn it into numbers three different ways, you know which method to reach for and why, and you've seen exactly where they all fall short. Next time we fix that blind spot with word embeddings — the foundation of everything modern in NLP.</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Session 20 · Text Representation  —  Teaching Transcript        </w:t>
    </w:r>
    <w:r>
      <w:rPr>
        <w:color w:val="64748B"/>
        <w:sz w:val="16"/>
        <w:szCs w:val="16"/>
      </w:rPr>
      <w:t xml:space="preserve">Page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2E8F0" w:sz="4" w:space="4"/>
      </w:pBdr>
      <w:spacing w:after="140" w:before="280"/>
      <w:outlineLvl w:val="0"/>
    </w:pPr>
    <w:rPr>
      <w:rFonts w:ascii="Arial" w:cs="Arial" w:eastAsia="Arial" w:hAnsi="Arial"/>
      <w:b/>
      <w:bCs/>
      <w:color w:val="0F2440"/>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0E7F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2026-06-13T09:24:15.984Z</dcterms:created>
  <dcterms:modified xsi:type="dcterms:W3CDTF">2026-06-13T09:24:15.984Z</dcterms:modified>
</cp:coreProperties>
</file>

<file path=docProps/custom.xml><?xml version="1.0" encoding="utf-8"?>
<Properties xmlns="http://schemas.openxmlformats.org/officeDocument/2006/custom-properties" xmlns:vt="http://schemas.openxmlformats.org/officeDocument/2006/docPropsVTypes"/>
</file>